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83" w:rsidRDefault="0053184D" w:rsidP="005318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БОГАТЫРЕВСКОГО  СЕЛЬСОВЕТА</w:t>
      </w: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ГОРШЕЧЕНСКОГО  РАЙОНА КУРСКОЙ  ОБЛАСТИ</w:t>
      </w: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25 октября 2018 г.                                                                                    № 22</w:t>
      </w: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Об утверждении  Правил благоустройства территории</w:t>
      </w: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Богатыревский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сельсовет»</w:t>
      </w: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Горшеченского района Курской области»</w:t>
      </w: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3184D" w:rsidRDefault="0053184D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Федеральным законом  от  06.10.2003 года № 131-ФЗ «Об общих принципах организации местного самоуправления в Российской  Федерации»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руководствуясь Уставом МО «</w:t>
      </w:r>
      <w:proofErr w:type="spellStart"/>
      <w:r>
        <w:rPr>
          <w:rFonts w:ascii="Times New Roman" w:hAnsi="Times New Roman"/>
          <w:sz w:val="24"/>
          <w:szCs w:val="24"/>
        </w:rPr>
        <w:t>Богатыревский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Горшеченского района Курской области </w:t>
      </w:r>
      <w:r w:rsidR="007852E4">
        <w:rPr>
          <w:rFonts w:ascii="Times New Roman" w:hAnsi="Times New Roman"/>
          <w:sz w:val="24"/>
          <w:szCs w:val="24"/>
        </w:rPr>
        <w:t>Собрание депутатов Богатыревского сельсовета Горшеченского района Курской области</w:t>
      </w: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Правила благоустройства территории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Богатыревский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Горшеченского района Курской области.</w:t>
      </w: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опубликовани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размещения на официальном сайте Администрации Богатыревского сельсовета Горшеченского района Курской области.</w:t>
      </w: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 момента опубликования (обнародования) признать утратившим силу решение Собрания депутатов Богатыревского сельсовета  Горшеченского района Курской области  № 52  от 05.04.2013 г. «Об утверждении Правил благоустройства, озеленения, чистоты и порядка на территории  Богатыревского сельсовета».</w:t>
      </w: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Богатыревского сельсовета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С.С.Михайлова</w:t>
      </w:r>
      <w:proofErr w:type="spellEnd"/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852E4" w:rsidRPr="0053184D" w:rsidRDefault="007852E4" w:rsidP="005318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Богатыревского сельсовета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Т.А.Звягинцева</w:t>
      </w:r>
      <w:proofErr w:type="spellEnd"/>
    </w:p>
    <w:p w:rsidR="006B5883" w:rsidRDefault="006B5883" w:rsidP="00B92D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B5883" w:rsidRDefault="006B5883" w:rsidP="00B92D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B5883" w:rsidRDefault="006B5883" w:rsidP="00B92D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B5883" w:rsidRDefault="006B5883" w:rsidP="00B92D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B5883" w:rsidRDefault="006B5883" w:rsidP="00B92D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B5883" w:rsidRDefault="006B5883" w:rsidP="00B92D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B5883" w:rsidRDefault="006B5883" w:rsidP="00B92D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B5883" w:rsidRDefault="006B5883" w:rsidP="00BB65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5883" w:rsidRDefault="006B5883" w:rsidP="00B92D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13102" w:rsidRDefault="002D4B66" w:rsidP="00B92D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Утверждены</w:t>
      </w:r>
    </w:p>
    <w:p w:rsidR="00413102" w:rsidRDefault="00413102" w:rsidP="002D4B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D4B66">
        <w:rPr>
          <w:rFonts w:ascii="Times New Roman" w:hAnsi="Times New Roman"/>
          <w:b/>
          <w:sz w:val="24"/>
          <w:szCs w:val="24"/>
        </w:rPr>
        <w:t>Решением Собрания депутатов</w:t>
      </w:r>
    </w:p>
    <w:p w:rsidR="002D4B66" w:rsidRDefault="002D4B66" w:rsidP="002D4B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Богатыревского сельсовета</w:t>
      </w:r>
    </w:p>
    <w:p w:rsidR="002D4B66" w:rsidRDefault="002D4B66" w:rsidP="002D4B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25.10.2018 г  № 22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2D4B66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413102" w:rsidRDefault="002D4B66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2D4B66" w:rsidRDefault="002D4B66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муниципального </w:t>
      </w:r>
      <w:r w:rsidR="002D4B6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D4B66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2D4B66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Правила) разработаны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кодексом РФ, Земельным кодексом РФ, Лесным кодексом РФ,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30 марта         1999 года № 52-ФЗ «О санитарно-эпидемиологическом благополучии населения», Федеральным законом от 10 января 2002 года № 7-ФЗ «Об охране окружающей среды»,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27 декабря 2011 года № 613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разработке норм и правил по благоустройству территорий муниципальных образований», Законом Курской области №59-ЗКО «О порядке определения органами местного самоуправления Курской области границ прилегающих территорий» от 2</w:t>
      </w:r>
      <w:r w:rsidR="00E72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.09.2018г., иными нормативными правовыми актами, регулирующими правоотношения по благоустройству, уборке, озеленению населенных пунктов.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муниципального образования.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Проектирование и эксплуатация элементов благоустройства обеспечивают требования охраны здоровья человека, исторической и природной среды, архитектурной привлекательности, создают технические возможности беспрепятственного передвижения маломобильных групп населения по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устанавливают обязательные нормы и требования в сфере благоустройства территории для всех юридических и физических лиц и форм хозяйственной деятельности,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>(помещений в них) и сооружений в благоустройстве прилегающих территорий; организация благоустройства территории (включая освещение улиц, озеленение территории, установку указателей с наименованиями улиц и номерами домов, установку информационных дорожных модулей с информацией об объектах притяжения участников дорожного движения, размещение и содержание малых архитектурных форм), расположенных в границах Горшеченского района.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настоящих  Правилах.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Элементы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(некапитальные) сооружения, наружная реклама и информация, информационные объекты субъектов предпринимательства, указатели, информационные дорожные модули, используемые как составные части благоустройства.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здания, строения,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 – внешний облик здания, строения, сооружения, созданный на основе архитектурного проекта.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– формируется из исторически сложившегося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архитектурного облика, улиц,  архитектурного облика зданий, сооружений, малых архитектурных форм, а также объектов, которые ввиду своих художественных, конструктивных или иных качеств концентрируют на себе внимание зрителя, а также формируют зрительные архитектурные акценты, составляющие художественное своеобразие.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Уборка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Крупногабаритный мусор (КГМ)</w:t>
      </w:r>
      <w:r>
        <w:rPr>
          <w:rFonts w:ascii="Times New Roman" w:hAnsi="Times New Roman" w:cs="Times New Roman"/>
          <w:sz w:val="28"/>
          <w:szCs w:val="28"/>
        </w:rPr>
        <w:t xml:space="preserve"> - отходы потребления и хозяйственной деятельности (бытовая техника, мебель и др.), утратившие свои потребительские свойства, не помещающиеся по габаритам в стандартные контейнеры.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Контейнер </w:t>
      </w:r>
      <w:r>
        <w:rPr>
          <w:rFonts w:ascii="Times New Roman" w:hAnsi="Times New Roman" w:cs="Times New Roman"/>
          <w:sz w:val="28"/>
          <w:szCs w:val="28"/>
        </w:rPr>
        <w:t>- стандартная емкость для сбора ТБО вместимостью 0,75 куб.м.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Несанкционированная свалка мусора</w:t>
      </w:r>
      <w:r>
        <w:rPr>
          <w:rFonts w:ascii="Times New Roman" w:hAnsi="Times New Roman" w:cs="Times New Roman"/>
          <w:sz w:val="28"/>
          <w:szCs w:val="28"/>
        </w:rPr>
        <w:t xml:space="preserve"> - самовольный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Прилегающая территория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территория, непосредственно примыкающая к границам здания, сооружения, ограждения, к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 </w:t>
      </w:r>
      <w:proofErr w:type="gramEnd"/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Элементы благоустройства территории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Элементы инженерной подготовки и защиты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413102" w:rsidRDefault="00413102" w:rsidP="0041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 Озеленение.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Озеленение - элемент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объёмно-пространственная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tbl>
      <w:tblPr>
        <w:tblW w:w="9445" w:type="dxa"/>
        <w:tblCellSpacing w:w="15" w:type="dxa"/>
        <w:tblInd w:w="30" w:type="dxa"/>
        <w:tblLook w:val="00A0" w:firstRow="1" w:lastRow="0" w:firstColumn="1" w:lastColumn="0" w:noHBand="0" w:noVBand="0"/>
      </w:tblPr>
      <w:tblGrid>
        <w:gridCol w:w="3195"/>
        <w:gridCol w:w="6250"/>
      </w:tblGrid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2.2.3. На территории населенных пунктов устанавливаются следующие доли цветников на озелененных территориях вновь проектируемых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рекреации (в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процентах):</w:t>
            </w: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Виды объектов рекреации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Удельный вес цветников от площади озеленения   объектов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2,0-2,5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2,5-3,0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4,0-5,0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3,0-4,0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не менее половины от площади цветника формируются из многолетников. </w:t>
            </w:r>
          </w:p>
        </w:tc>
      </w:tr>
    </w:tbl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участков, на которых находятся зеленые насаждения, обязаны  обеспечить целевое назначение зеленых насаждений.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зеленых насаждений  для любых иных целей, в том числе расклеивания, размещения, крепления афиш, объявлений, иной малоформатной  информации, в том числе рекламной.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 Виды покрытий.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Покрытия поверхности обеспечивают на территории 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твердые</w:t>
      </w:r>
      <w:r>
        <w:rPr>
          <w:rFonts w:ascii="Times New Roman" w:hAnsi="Times New Roman" w:cs="Times New Roman"/>
          <w:sz w:val="28"/>
          <w:szCs w:val="28"/>
        </w:rPr>
        <w:t xml:space="preserve"> (капитальные) - 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газонные</w:t>
      </w:r>
      <w:r>
        <w:rPr>
          <w:rFonts w:ascii="Times New Roman" w:hAnsi="Times New Roman" w:cs="Times New Roman"/>
          <w:sz w:val="28"/>
          <w:szCs w:val="28"/>
        </w:rPr>
        <w:t>, выполняемые по специальным технологиям подготовки и посадки травяного покрова;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комбинированные</w:t>
      </w:r>
      <w:r>
        <w:rPr>
          <w:rFonts w:ascii="Times New Roman" w:hAnsi="Times New Roman" w:cs="Times New Roman"/>
          <w:sz w:val="28"/>
          <w:szCs w:val="28"/>
        </w:rPr>
        <w:t>, представляющие сочетания покрытий, указанных выше (например, плитка, утопленная в газон и т.п.).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Вид покрытия определяется  при проведении проектирования объекта и является обязательным условием ввода объекта в эксплуатацию.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Правообладатель земельного участка, а также лица, у которого в соответствии с действующим законодательством, муниципальными правовыми актами или договором существует обязанность по уборке или благоустройству этой территории, обязан обеспечить содержание покрытия в состоянии, которое было на момент ввода объекта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естественного износа. Возникшие повреждения покрытия должны быть устранены в 10-дневный срок, за исключением твердых покрытий, поврежденных в результате погодных условий в зимний период, которые должны быть восстановлены не позднее  1 мая.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Для деревьев, расположенных в мощении, при отсутствии иных видов защиты (приствольных решеток, бордюров,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скамеек и пр.) должны выполняться защитные виды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территорий, согласованной  органом исполнительной власти.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 Сопряжения поверхностей.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Бортовые камни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Ступени, лестницы, пандусы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При уклонах пешеходных коммуникаций более 6% предусматривается 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5%, обязательно сопровождая их пандусом. При пересечении основных пешеходных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При проектировании открытых лестниц на перепадах рельефа высоту ступеней рекомендуется назначать не более 120 мм, ширину - не менее 400 мм и уклон 1-2% в сторону вышележащей ступени. После каждых 10-12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 высота ступеней может быть увеличена до 150 мм, а ширина ступеней и длина площадки - уменьшена до 300 мм и 1,0 м соответственно.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2.5. Ограждения.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на территории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- 0,3-1,0 м, средние - 1,1-1,7 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На территориях общественного, жилого, рекреационного назначения не рекомендуется проектирование глухих и железобетонных ограждений. Рекомендуется применение декоративных металлических ограждений.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Рекомендуется предусматривать размещение защитных металлических ограждений высотой не менее 0,5 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рекомендуется размещать на территории газона с отступом от границы примыкания порядка 0,2-0,3 м.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более, </w:t>
      </w:r>
      <w:r>
        <w:rPr>
          <w:rFonts w:ascii="Times New Roman" w:hAnsi="Times New Roman" w:cs="Times New Roman"/>
          <w:sz w:val="28"/>
          <w:szCs w:val="28"/>
        </w:rPr>
        <w:lastRenderedPageBreak/>
        <w:t>диаметром 0,8 м и более в зависимости от возраста, породы дерева и прочих характеристик.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 Запрещается использование ограждений, установленных на магистральных улицах, для расклеивания,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2.6. Малые архитектурные формы.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r:id="rId5" w:anchor="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вертикального озеленения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водные устройства, городская мебель, коммунально-бытовое и техническое оборудование на территории города Курска.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Запрещается использование малых архитектурных форм для 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Устройства для оформления озеленения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Водные устройства</w:t>
      </w:r>
    </w:p>
    <w:p w:rsidR="00413102" w:rsidRDefault="00413102" w:rsidP="0041310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Качество воды в родниках на территории должно контролироваться в плановом порядке. На особо охраняемых территориях природного комплекса для обустройства родников требуется согласие уполномоченных органов природопользования и охраны окружающей среды. Родники должны быть оборудованы подходом 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Декоративные водоемы рекомендуется сооружать с использованием рельефа или на ровной поверхности в сочетании с газоном, </w:t>
      </w:r>
      <w:r>
        <w:rPr>
          <w:rFonts w:ascii="Times New Roman" w:hAnsi="Times New Roman" w:cs="Times New Roman"/>
          <w:sz w:val="28"/>
          <w:szCs w:val="28"/>
        </w:rPr>
        <w:lastRenderedPageBreak/>
        <w:t>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413102" w:rsidRDefault="00413102" w:rsidP="0041310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коммунально-бытовое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 Установка уличного коммунально-бытового оборудования должна осуществляться на твердые виды покрытия или фундамент. В зонах отдыха, лесопарках, детских площадках может допускаться установка уличного коммунально-бытового оборудования  на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2.6.8. Для сбора бытового мусора на улицах, площадях применяются малогабаритные (малые) контейнеры (менее 0,5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(или) урны, устанавливаемые у входов: в объекты торговли и общественного питания, другие учреждения общественного назначения, жилые дома и сооружения транспорта.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м, других территориях  - не более 100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контейнеры и урны устанавливаются у скамей, нестационарных (некапитальных)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2.6.9. Собственники объектов, указанных  в пункте 2.6.11 настоящих правил, обязаны обеспечить установку контейнеров и урн, их надлежащее содержание, своевременную уборку, не допуская их переполнение и загрязнение территории.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техническое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2.6.10. 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 смотровые люки, решетки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2.6.11. Установка уличного технического оборудования должна обеспечивать удобный подход к оборудованию и соответствовать разделу 3 СНиП 59/13330/2012.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2.6.12. При установке таксофонов на территориях общественного, жилого, рекреационного назначения рекомендуется предусматривать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монетоприемника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покрытия составлял 1,3 м; уровень приемного отверстия почтового ящика рекомендуется располагать от уровня покрытия на высоте 1,3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Рекомендуется выполнять оформление элементов инженерного оборудования, не нарушающих уровень благоустройства формируемой среды, ухудшающих условия передвижения, противоречащей техническим условиям, в том числе: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 мм, а зазоры между краем люка и покрытием тротуара - не более 15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2.6.14. Уличное техническое оборудование  устанавливается только на твердые виды покрытия или фундамент. Установка на мягкие виды покрытий не допускается.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2.6.15. Установка уличного технического оборудования на газонах, клумбах, цветниках запрещена.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2.7. Игровое и спортивное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Игровое и спортивное оборудование на территории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сколы, отполированное, острые углы закруглены;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которые должны иметь надежные соединения и соответствующую обработку (влагостойкая покраска, антикоррозийное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покрытие);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Установлены следующие минимальные расстояния безопасности при размещении игрового оборудования на детских игровых площадках: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68"/>
        <w:gridCol w:w="7277"/>
      </w:tblGrid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Игровое оборудование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Минимальные расстояния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1,5 м в стороны от боковых конструкций и не менее 2,0 м вперед (назад) от крайних точек качели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Качалки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1,0 м в стороны от боковых конструкций и не менее 1,5 м вперед от крайних точек качалки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 м в стороны от боковых конструкций и не менее 3 м вверх от нижней вращающейся поверхности карусели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 м от боковых сторон и 2 м вперед от нижнего края ската горки. </w:t>
            </w:r>
          </w:p>
        </w:tc>
      </w:tr>
    </w:tbl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2.8. Освещение и осветительное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задач, в т.ч. при необходимости светоцветового зонирования территорий  и формирования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Функциональное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зонах, дворовых и иных территорий. Установки ФО, как правило,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территориях как наиболее традиционные.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В парапетных установках светильники рекомендуется встраивать линией или пунктиром в парапет высотой до 1,2 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2.8.7. Светильники, встроенные в ступени, подпорные стенки, ограждения, цоколи зданий и сооружений, МАФ, рекомендуется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 для освещения пешеходных зон территорий общественного назначения.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2.8.8. Собственники зданий, строений, сооружений, правообладатели земельных участков обязаны обеспечить их функциональное освещение объектов и земельных участков. Восстановление вышедших из строя объектов функционального освещения осуществляется указанными лицами не долее чем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Архитектурное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2.8.9. Архитектурное освещение (АО)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ансамблей, иных зданий, строений, сооружений.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2.8.10. К временным установкам АО относится праздничная иллюминация: световые гирлянды, сетки, контурные обтяжки,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 Объекты капитального строительства должны быть обеспечены фасадным архитектурным освещением по проекту. Данное требование не распространяется на многоквартирные жилые дома.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Световая информация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2.8.13.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Источники света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2.8.14. В стационарных установках ФО и АО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2.8.15. Источники света в установках ФО рекомендуется выбирать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 или световом ансамбле.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Освещение транспортных и пешеходных зон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2.8.17. В установках ФО транспортных и </w:t>
      </w:r>
      <w:hyperlink r:id="rId6" w:anchor="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пешеходных зон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светораспределением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2.8.18.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двухконсольные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разноспектральными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2.8.19.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 проезжей частью улиц, дорог и площадей светильники на опорах рекомендуется устанавливать на высоте не менее 8 м. В пешеходных зонах высота установки светильников на опорах может приниматься, как правило, не менее 3,5 м и не более 5,5 м. Светильники (бра, плафоны) для освещения проездов, тротуаров и площадок, расположенных у зданий, рекомендуется устанавливать на высоте не менее 3 м.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Опоры уличных светильников для освещения проезжей части магистральных улиц (общегородских и районных) могут располагаться на расстоянии не менее 0,6 м от лицевой грани бортового камня до цоколя опоры, на уличной сети местного значения это расстояние допускается уменьшать до 0,3 м при условии отсутствия автобусного или троллейбусного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движения, а также регулярного движения грузовых машин.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 Опоры на пересечениях магистральных улиц и дорог, как правило, устанавливаются до начала закругления тротуаров и не ближе 1,5 м от различного рода въездов, не нарушая единого строя линии их установки.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Режимы работы осветительных установок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2.8.23.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 лк. Отключение рекомендуется производить: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установок АО - в соответствии с правовыми актами,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и т.п.) установки АО могут функционировать от заката до рассвета;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2.9. Наружная реклама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аспространение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при наличии разрешения на установку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рекламной конструкции, выданного Администрацией Горшеченского района.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2.9.2. При присоединении рекламных конструкций к фасадам зданий  должны быть соблюдены ограничения и требования к содержанию зданий и фасадов, установленные настоящими Правилами.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2.9.3. При  размещении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обеспечено благоустройство территории в радиусе не менее 10 метров от места  размещения рекламной конструкции.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Ответственность за выполнение пунктов 2.9.2, 2.9.3, несут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собственники имущества, к которому присоединена рекламная конструкция.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Размещение информации, в том числе рекламной, а также объявлений на зеленых насаждениях запрещено.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размещение объявлений и информации, в том числе рекламной, несет как лицо, непосредственно разместившее объявление или информацию, в том числе рекламную, так и лицо, в интересах которого размещены объявление или информация, в том числе рекламную.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2.10. Нестационарные (некапитальные) сооружения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Нестационарными </w:t>
      </w:r>
      <w:r>
        <w:rPr>
          <w:rFonts w:ascii="Times New Roman" w:hAnsi="Times New Roman" w:cs="Times New Roman"/>
          <w:bCs/>
          <w:sz w:val="28"/>
          <w:szCs w:val="28"/>
        </w:rPr>
        <w:t>(некапитальными)</w:t>
      </w:r>
      <w:r>
        <w:rPr>
          <w:rFonts w:ascii="Times New Roman" w:hAnsi="Times New Roman" w:cs="Times New Roman"/>
          <w:sz w:val="28"/>
          <w:szCs w:val="28"/>
        </w:rPr>
        <w:t xml:space="preserve"> являются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(мобильные) сооружения – это киоски, павильоны, рекламные конструкции, остановочные павильоны, наземные туалетные кабины, гаражи, передвижные объекты потребительского рынка и иные аналогичные сооружения), не являющиеся объектами недвижимости, устанавливаемые на определенной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быстрого изменения характера использования данной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несоразмерного ущерба назначению объектов при их перемещении, время функционирования которых на данном участке предварительно было определено владельцем земельного участка на ограниченный срок.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Отделочные материалы нестационарных (некапитальных)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 и условиям долговременной эксплуатации. При остеклении витрин рекомендуется применять безосколочные, ударостойкие материалы,  безопасные упрочняющие многослойные пленочные покрытия, поликарбонатные стекла.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Нестационарные (некапитальные) сооружения не должны нарушать архитектурный облик, создавать препятствия для целостного визуального восприятия фасадов зданий, объектов благоустройства, памятников и монументов, доминантных объектов архитектуры. При размещении нестационарных (некапитальных) сооружений в границах охранных зон зарегистрированных памятников культурного наследия </w:t>
      </w:r>
      <w:r>
        <w:rPr>
          <w:rFonts w:ascii="Times New Roman" w:hAnsi="Times New Roman" w:cs="Times New Roman"/>
          <w:sz w:val="28"/>
          <w:szCs w:val="28"/>
        </w:rPr>
        <w:lastRenderedPageBreak/>
        <w:t>(природы) и в зонах особо охраняемых природных территорий города параметры сооружений (высота, ширина, протяженность),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нестационарных (некапитальных) сооружений на территории,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 и благоустройство территории и застройки. 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Не допускается размещение нестационарных (некапитальных) сооружений  в арках зданий, на газонах, площадках (детских, отдыха, спортивных, транспортных стоянок), посадочных площадках городского пассажирского транспорта, а также ближе 10 м от остановочных павильонов.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Не допускается размещение информации, в том числе рекламной, на нестационарных (некапитальных) объектах, за исключением вывесок хозяйствующих субъектов, осуществляющих предпринимательскую деятельность в нестационарных (некапитальных) объектах, с обязательной информацией, установленной Федеральным законом «О защите прав потребителей».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2.11. Требования к оформлению и оборудованию зданий и сооружений, содержанию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домовых знаков, защитных сеток, информационных и рекламных конструкций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На зданиях и сооружения должны быть размещены  адресные указатели с наименованием улицы и номера домовладения. На многоквартирных жилых домах также должны быть установлены указатели номера подъезда и квартир.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Здания и сооружения должны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определённом при их проектировании.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изменять цветовое решение фасадов;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фасадах зданий вдоль магистральных улиц кондиционеры и антенны-«тарелки», иные установки, за исключением размещения указанных объектов в помещениях, не имеющих стен на дворовые фасады;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информационные и рекламные конструкции совокупной площадью более 10 % площади фасада (включая оконные проемы и витрины) на фасадах объектов коммерческого назначения;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размещать информационные и рекламные конструкции на торцевых (боковых) фасадах зданий и сооружений,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-графическую отделку, предусмотренную проектом здания;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рекламно-информационное оформление окон и витрин зданий и сооружений с наружной стороны фасада;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входные группы зданий жилого и общественного назначения непосредственно с выходом на пешеходный тротуар, если при этом ширина пешеходной части тротуара станет менее ширины, предусмотренной Правилами землепользования и застройки  для данной категории дороги или улицы. При механизированных способах очистки тротуаров минимальную ширину тротуаров следует принимать 3 метра;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прилегающих к зданиям земельных участках нестационарные (некапитальные) сооружения, нарушающие архитектурный облик зданий, создающие препятствия для целостного восприятия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Для об</w:t>
      </w:r>
      <w:r w:rsidR="000C6F54">
        <w:rPr>
          <w:rFonts w:ascii="Times New Roman" w:hAnsi="Times New Roman" w:cs="Times New Roman"/>
          <w:sz w:val="28"/>
          <w:szCs w:val="28"/>
        </w:rPr>
        <w:t>еспечения поверхностного водоот</w:t>
      </w:r>
      <w:r>
        <w:rPr>
          <w:rFonts w:ascii="Times New Roman" w:hAnsi="Times New Roman" w:cs="Times New Roman"/>
          <w:sz w:val="28"/>
          <w:szCs w:val="28"/>
        </w:rPr>
        <w:t xml:space="preserve">вода от зданий и сооружений по их периметру рекомендуется предусматривать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принимать не менее 10% в сторону от здания. Ширину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зданий и сооружений рекомендуется принимать 0,8-1,2 м, в сложных геологических условиях (грунты с карстами) - 1,5-3 м. В случае примыкания здания к пешеходным коммуникациям,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выполняет тротуар с твердым видом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При организации стока воды со скатных крыш через водосточные трубы рекомендуется: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 отверстия трубы более 200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годов, рекомендуется предусматривать установку специальных защитных сеток на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уровне второго этажа. Для предотвращения образования сосулек рекомендуется применение обогреваемого электрического контура по внешнему периметру крыши.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2.12.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На территории 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Детские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 м, младшего и среднего школьного возраста - не менее 20 м, комплексных игровых площадок - не менее 40 м, спортивно-игровых комплексов - не менее 100 м. Детские площадки для дошкольного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Площадки для игр детей на территориях жилого назначения рекомендуется проектировать из расчета 0,5-0,7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Площадки для игр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могут иметь незначительные размеры (50-75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 кв.м.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 Оптимальный размер игровых площадок рекомендуется устанавливать для детей дошкольного возраста - 70-150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школьного возраста - 100-300 кв.м, комплексных игровых площадок - 900-1600 кв.м. При этом возможно объединение площадок дошкольного возраста с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площадками отдыха взрослых (размер площадки - не менее 150 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 В условиях исторической или высокоплотной застройки размеры площадок могут отклоняться на 40 % в зависимости от имеющихся территориальных возможностей с компенсацией нормативных показателей на прилегающих территориях.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2.12.8.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 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 транспорта - не менее 50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2.12.9. При реконструкции детских площадок, во избежание травматизма,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 Обязательный перечень </w:t>
      </w:r>
      <w:hyperlink r:id="rId7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 местах,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2.12.12. Собственники (балансодержатели) детских площадок или объектов, составляющих детскую площадку, обязаны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Площадки отдыха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2.12.13.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группы, в парках и лесопарках.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 СанПиН 2.2.1/2.1.1.1200,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 транспорта - не менее 50 м. Расстояние от окон жилых домов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 площадок тихого отдыха следует устанавливать не менее 10 м, площадок шумных настольных игр - не менее 25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2.12.14. Площадки отдыха на жилых территориях следует проектировать из расчета 0,1-0,2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жителя. Оптимальный размер площадки 50-100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минимальный размер площадки отдыха - не менее 15-20 кв.м. Допускается совмещение площадок тихого отдыха с детскими площадками.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2.12.15.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2.12.16.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2.12.17. Собственники (балансодержатели) площадок отдыха или объектов, составляющих площадку отдыха, обязаны обеспечить надлежащее содержание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Спортивные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2.12.18. 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2.12.19. Размещение и проектирование благоустройства спортивного ядра на территории участков общеобразовательных школ рекомендуется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школьного возраста (100 детей) - не менее 250 кв.м.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2.12.20. Обязательный перечень </w:t>
      </w:r>
      <w:hyperlink r:id="rId8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2.12.21. Собственники (балансодержатели) спортивных площадок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объектов, составляющих спортивную площадку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для установки мусоросборников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2.12.22.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2.12.23.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х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2.12.24. Размер площадки на один контейнер рекомендуется принимать - 2-3 кв.м. Между контейнером и краем площадки размер прохода рекомендуется устанавливать не менее 1,0 м, между контейнерами - не менее 0,35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2.12.25.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ТБО. Рекомендуется проектировать освещение и озеленение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2.12.26. Покрытие площадки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Уклон покрытия площадки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2.12.27.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2.12.28. Контейнерная площадка должна иметь ограждение с трех сторон высотой не менее 1,6 метра, не допускающее попадание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согласованным в установленном порядке.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2.12.29. На каждом контейнере должна быть размещена информация о его балансодержателе (наименование и юридический адрес).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2.12.30. Балансодержатель контейнеров обязан обеспечить надлежащее состояние и уборку контейнерной площадки и прилегающей территории к ней в радиусе 10 метров, если иное не предусмотрено договором на вывоз твердых бытовых отходов.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автостоянок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(районные),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2.12.32.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На уличных парковках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осветительное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информационное оборудование является не обязательным.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2.12.33. Покрытие площадок рекомендуется проектировать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2.12.34. Сопряжение покрытия площадки с проездом рекомендуется выполнять в одном уровне без укладки бортового камня, с газоном - в соответствии с </w:t>
      </w:r>
      <w:hyperlink r:id="rId9" w:anchor="24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2.4.3</w:t>
        </w:r>
      </w:hyperlink>
      <w:r>
        <w:rPr>
          <w:rFonts w:ascii="Times New Roman" w:hAnsi="Times New Roman" w:cs="Times New Roman"/>
          <w:sz w:val="28"/>
          <w:szCs w:val="28"/>
        </w:rPr>
        <w:t> настоящих Правил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2.12.35.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2.12.36. Не допускается проектирование автостоянок, размещение временных автостоянок за счет сноса зеленых насаждений, газонов или уменьшения площади озелененных территорий.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Раздел 3.Прилегающая территория</w:t>
      </w:r>
    </w:p>
    <w:p w:rsidR="00413102" w:rsidRDefault="00413102" w:rsidP="00413102"/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lastRenderedPageBreak/>
        <w:br/>
      </w:r>
      <w:r>
        <w:rPr>
          <w:spacing w:val="1"/>
          <w:sz w:val="28"/>
          <w:szCs w:val="28"/>
        </w:rPr>
        <w:t>3.1</w:t>
      </w:r>
      <w:r w:rsidRPr="00E7246B">
        <w:rPr>
          <w:spacing w:val="1"/>
          <w:sz w:val="28"/>
          <w:szCs w:val="28"/>
        </w:rPr>
        <w:t xml:space="preserve">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3.2</w:t>
      </w:r>
      <w:proofErr w:type="gramStart"/>
      <w:r w:rsidRPr="00E7246B">
        <w:rPr>
          <w:spacing w:val="1"/>
          <w:sz w:val="28"/>
          <w:szCs w:val="28"/>
        </w:rPr>
        <w:t xml:space="preserve"> В</w:t>
      </w:r>
      <w:proofErr w:type="gramEnd"/>
      <w:r w:rsidRPr="00E7246B">
        <w:rPr>
          <w:spacing w:val="1"/>
          <w:sz w:val="28"/>
          <w:szCs w:val="28"/>
        </w:rPr>
        <w:t xml:space="preserve"> границе прилегающей территории могут располагаться следующие территории общего пользования или их части: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пешеходные коммуникации, в том числе тротуары, аллеи, дорожки, тропинки;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2) палисадники, клумбы;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3.3</w:t>
      </w:r>
      <w:proofErr w:type="gramStart"/>
      <w:r w:rsidRPr="00E7246B">
        <w:rPr>
          <w:spacing w:val="1"/>
          <w:sz w:val="28"/>
          <w:szCs w:val="28"/>
        </w:rPr>
        <w:t xml:space="preserve"> В</w:t>
      </w:r>
      <w:proofErr w:type="gramEnd"/>
      <w:r w:rsidRPr="00E7246B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надземных линейных объектов инженерной инфраструктуры - 5 метров по обе стороны;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2)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3) для земельных участков, предназначенных для строительства объектов капитального строительства,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4) для хозяйствующих субъектов, являющихся правообладателями земельных участков,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5) для гаражно-строительных кооперативов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6) для жилых домов блокированной застройки, индивидуальных жилых домов с приусадебными земельными участками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7) для индивидуальных жилых домов с приусадебными земельными участками, расположенных на пересечении улиц, переулков, проездов,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lastRenderedPageBreak/>
        <w:br/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9) для территории ведения гражданами садоводства или огородничества для собственных нужд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3.4</w:t>
      </w:r>
      <w:proofErr w:type="gramStart"/>
      <w:r w:rsidR="00BE7A9C">
        <w:rPr>
          <w:spacing w:val="1"/>
          <w:sz w:val="28"/>
          <w:szCs w:val="28"/>
        </w:rPr>
        <w:t xml:space="preserve"> </w:t>
      </w:r>
      <w:r w:rsidRPr="00E7246B">
        <w:rPr>
          <w:spacing w:val="1"/>
          <w:sz w:val="28"/>
          <w:szCs w:val="28"/>
        </w:rPr>
        <w:t xml:space="preserve"> В</w:t>
      </w:r>
      <w:proofErr w:type="gramEnd"/>
      <w:r w:rsidRPr="00E7246B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2) для хозяйствующих субъектов, не указанных</w:t>
      </w:r>
      <w:r w:rsidR="00081650">
        <w:rPr>
          <w:spacing w:val="1"/>
          <w:sz w:val="28"/>
          <w:szCs w:val="28"/>
        </w:rPr>
        <w:t xml:space="preserve"> в </w:t>
      </w:r>
      <w:r w:rsidRPr="00E7246B">
        <w:rPr>
          <w:spacing w:val="1"/>
          <w:sz w:val="28"/>
          <w:szCs w:val="28"/>
        </w:rPr>
        <w:t xml:space="preserve"> пункте 1 настоящей части, - 40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3) для индивидуальных жилых домов - 20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4) для индивидуальных жилых домов, расположенных на пересечении улиц, проездов, переулков, - 20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5) для гаражно-строительных кооперативов - 40 метров.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3.5</w:t>
      </w:r>
      <w:proofErr w:type="gramStart"/>
      <w:r>
        <w:rPr>
          <w:spacing w:val="1"/>
          <w:sz w:val="28"/>
          <w:szCs w:val="28"/>
        </w:rPr>
        <w:t xml:space="preserve"> </w:t>
      </w:r>
      <w:r w:rsidRPr="00E7246B">
        <w:rPr>
          <w:spacing w:val="1"/>
          <w:sz w:val="28"/>
          <w:szCs w:val="28"/>
        </w:rPr>
        <w:t xml:space="preserve"> В</w:t>
      </w:r>
      <w:proofErr w:type="gramEnd"/>
      <w:r w:rsidRPr="00E7246B">
        <w:rPr>
          <w:spacing w:val="1"/>
          <w:sz w:val="28"/>
          <w:szCs w:val="28"/>
        </w:rPr>
        <w:t xml:space="preserve">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индивидуальных жилых домов - 20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2) для индивидуальных жилых домов, расположенных на пересечении улиц, проездов, переулков, - 20 метров.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3.6</w:t>
      </w:r>
      <w:proofErr w:type="gramStart"/>
      <w:r w:rsidRPr="00E7246B">
        <w:rPr>
          <w:spacing w:val="1"/>
          <w:sz w:val="28"/>
          <w:szCs w:val="28"/>
        </w:rPr>
        <w:t xml:space="preserve"> П</w:t>
      </w:r>
      <w:proofErr w:type="gramEnd"/>
      <w:r w:rsidRPr="00E7246B">
        <w:rPr>
          <w:spacing w:val="1"/>
          <w:sz w:val="28"/>
          <w:szCs w:val="28"/>
        </w:rPr>
        <w:t>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частях 3 и 4 настоящей статьи.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</w:p>
    <w:p w:rsidR="00413102" w:rsidRDefault="00BE7A9C" w:rsidP="004131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3.7  </w:t>
      </w:r>
      <w:r w:rsidR="00413102">
        <w:rPr>
          <w:sz w:val="28"/>
          <w:szCs w:val="28"/>
        </w:rPr>
        <w:t>Организации, управляющие жилищным фондом, иные юридические лица, индивидуальные предприниматели, собственники индивидуальных жилых домов и земельных участков обязаны заключить и иметь постоянно действующий договор на вывоз и размещение отходов производства и потребления со специализированными организациями, имеющими лицензию на сбор, использование, обезвреживание, транспортировку, размещение отходов I - IV класса опасности или с другой специализированной (не имеющей лицензии) организацией на вывоз и размещение</w:t>
      </w:r>
      <w:proofErr w:type="gramEnd"/>
      <w:r w:rsidR="00413102">
        <w:rPr>
          <w:sz w:val="28"/>
          <w:szCs w:val="28"/>
        </w:rPr>
        <w:t xml:space="preserve"> отходов V класса опасности.</w:t>
      </w:r>
    </w:p>
    <w:p w:rsidR="00413102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13102">
        <w:rPr>
          <w:rFonts w:ascii="Times New Roman" w:hAnsi="Times New Roman" w:cs="Times New Roman"/>
          <w:sz w:val="28"/>
          <w:szCs w:val="28"/>
        </w:rPr>
        <w:t xml:space="preserve"> Собственники объектов мелкорозничной торговли, бытового обслуживания и питания обязаны обеспечить работу осветительного оборудования, установки урн возле объектов, своевременную уборку урн и малых контейнеров, а также благоустройство и своевременную уборку территории в радиус</w:t>
      </w:r>
      <w:r>
        <w:rPr>
          <w:rFonts w:ascii="Times New Roman" w:hAnsi="Times New Roman" w:cs="Times New Roman"/>
          <w:sz w:val="28"/>
          <w:szCs w:val="28"/>
        </w:rPr>
        <w:t>е 4</w:t>
      </w:r>
      <w:r w:rsidR="00413102">
        <w:rPr>
          <w:rFonts w:ascii="Times New Roman" w:hAnsi="Times New Roman" w:cs="Times New Roman"/>
          <w:sz w:val="28"/>
          <w:szCs w:val="28"/>
        </w:rPr>
        <w:t>0 метров от нестационарного объекта. Ответственность за уборку территории в радиусе 20 метров от нестационарного (некапитального) объекта мелкорозничной торговли несут лица, осуществляющие торговлю.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9C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</w:t>
      </w:r>
      <w:r w:rsidR="00413102">
        <w:rPr>
          <w:rFonts w:ascii="Times New Roman" w:hAnsi="Times New Roman" w:cs="Times New Roman"/>
          <w:sz w:val="28"/>
          <w:szCs w:val="28"/>
        </w:rPr>
        <w:t xml:space="preserve"> Размещение туалетных кабин рекомендуется предусматривать на активно посещаемых территориях населенного пункта 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нестационарных (некапитальных) сооружениях питания. 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 м. Туалетную кабину необходимо устанавливать на твердые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Особые требования к доступности жилой среды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Проектирование, строительство, установка технических средств и оборудования, способствующих передвижению пожилых лиц и инвалидов,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при новом строительстве заказчиком в соответствии с утвержденной проектной документацией.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5. Праздничное оформление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Праздничное оформление территории выполняется</w:t>
      </w:r>
      <w:r w:rsidR="00081650">
        <w:rPr>
          <w:rFonts w:ascii="Times New Roman" w:hAnsi="Times New Roman" w:cs="Times New Roman"/>
          <w:sz w:val="28"/>
          <w:szCs w:val="28"/>
        </w:rPr>
        <w:t xml:space="preserve"> по решению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 период проведения государственных  праздников, мероприятий, связанных со знаменательными событиями и праздничными датами.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 их владельцами в рамках концепции праздничного оформления территории.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Праздничное оформление включает в себя: вывеску флагов, лозунгов, гирлянд, панно, установку декоративных элементов и композиций, стендов, трибун, эстрад, а также устройство праздничной</w:t>
      </w:r>
      <w:r w:rsidR="00081650">
        <w:rPr>
          <w:rFonts w:ascii="Times New Roman" w:hAnsi="Times New Roman" w:cs="Times New Roman"/>
          <w:sz w:val="28"/>
          <w:szCs w:val="28"/>
        </w:rPr>
        <w:t xml:space="preserve"> иллюминации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Обязательными элементами праздничного оформления к празднованию Нового года являются размещение на фасадах,  в витринах гирлянд.         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земельного участка с выходом на улицы, собственникам объектов недвижимости на них расположенных, рекомендуется установить искусственную или натуральную ель или сосну, с украшением ее гирляндами (при наличии технической возможности) и игрушками (данные требования не распространяются на жилищный фонд).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Новогоднее праздничное оформление должно быть произведено к 20 декабря.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Праздничное оформление обязательно выполняется к праз</w:t>
      </w:r>
      <w:r w:rsidR="00081650">
        <w:rPr>
          <w:rFonts w:ascii="Times New Roman" w:hAnsi="Times New Roman" w:cs="Times New Roman"/>
          <w:sz w:val="28"/>
          <w:szCs w:val="28"/>
        </w:rPr>
        <w:t>днованию Дня Победы и Дня  села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BE7A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элементами праздничного оформления к празднованию  являются символика.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норм и правил благоустройства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Лица, нарушившие данные Правила, привлекаются к ответственности в соответствии</w:t>
      </w:r>
      <w:r w:rsidR="003C604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кодексом об Административных правонарушениях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 законодательством Курской области   об административных правонарушениях.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D0D" w:rsidRDefault="00BA0D0D"/>
    <w:sectPr w:rsidR="00BA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102"/>
    <w:rsid w:val="00081650"/>
    <w:rsid w:val="000C6F54"/>
    <w:rsid w:val="002D4B66"/>
    <w:rsid w:val="003C6043"/>
    <w:rsid w:val="00413102"/>
    <w:rsid w:val="0053184D"/>
    <w:rsid w:val="006B5883"/>
    <w:rsid w:val="007852E4"/>
    <w:rsid w:val="00B92D5F"/>
    <w:rsid w:val="00B968E2"/>
    <w:rsid w:val="00BA0D0D"/>
    <w:rsid w:val="00BB65A9"/>
    <w:rsid w:val="00BE7A9C"/>
    <w:rsid w:val="00C2670D"/>
    <w:rsid w:val="00D32E0E"/>
    <w:rsid w:val="00E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31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310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semiHidden/>
    <w:unhideWhenUsed/>
    <w:rsid w:val="004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1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41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184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84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1844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001844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18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27</Pages>
  <Words>9646</Words>
  <Characters>54986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bogatirevo</cp:lastModifiedBy>
  <cp:revision>9</cp:revision>
  <dcterms:created xsi:type="dcterms:W3CDTF">2018-10-26T07:01:00Z</dcterms:created>
  <dcterms:modified xsi:type="dcterms:W3CDTF">2018-10-26T09:20:00Z</dcterms:modified>
</cp:coreProperties>
</file>