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7A3594" w:rsidP="00B523C6">
      <w:pPr>
        <w:pStyle w:val="Standard"/>
        <w:jc w:val="center"/>
        <w:rPr>
          <w:rFonts w:ascii="Arial" w:hAnsi="Arial" w:cs="Arial"/>
          <w:b/>
          <w:sz w:val="32"/>
          <w:szCs w:val="32"/>
          <w:lang w:val="ru-RU"/>
        </w:rPr>
      </w:pPr>
      <w:r>
        <w:rPr>
          <w:rFonts w:ascii="Arial" w:hAnsi="Arial" w:cs="Arial"/>
          <w:b/>
          <w:sz w:val="32"/>
          <w:szCs w:val="32"/>
          <w:lang w:val="ru-RU"/>
        </w:rPr>
        <w:t>БОГАТЫРЕВСКОГО</w:t>
      </w:r>
      <w:r w:rsidR="009D2F53">
        <w:rPr>
          <w:rFonts w:ascii="Arial" w:hAnsi="Arial" w:cs="Arial"/>
          <w:b/>
          <w:sz w:val="32"/>
          <w:szCs w:val="32"/>
          <w:lang w:val="ru-RU"/>
        </w:rPr>
        <w:t xml:space="preserve"> </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sidR="007A3594">
        <w:rPr>
          <w:rFonts w:ascii="Arial" w:hAnsi="Arial" w:cs="Arial"/>
          <w:b/>
          <w:sz w:val="32"/>
          <w:szCs w:val="32"/>
          <w:lang w:val="ru-RU"/>
        </w:rPr>
        <w:t xml:space="preserve">  08</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sidR="008F3145">
        <w:rPr>
          <w:rFonts w:ascii="Arial" w:hAnsi="Arial" w:cs="Arial"/>
          <w:b/>
          <w:sz w:val="32"/>
          <w:szCs w:val="32"/>
          <w:lang w:val="ru-RU"/>
        </w:rPr>
        <w:t>.</w:t>
      </w:r>
      <w:r w:rsidR="009D2F53">
        <w:rPr>
          <w:rFonts w:ascii="Arial" w:hAnsi="Arial" w:cs="Arial"/>
          <w:b/>
          <w:sz w:val="32"/>
          <w:szCs w:val="32"/>
          <w:lang w:val="ru-RU"/>
        </w:rPr>
        <w:t xml:space="preserve"> </w:t>
      </w:r>
      <w:r w:rsidR="007A3594">
        <w:rPr>
          <w:rFonts w:ascii="Arial" w:hAnsi="Arial" w:cs="Arial"/>
          <w:b/>
          <w:sz w:val="32"/>
          <w:szCs w:val="32"/>
          <w:lang w:val="ru-RU"/>
        </w:rPr>
        <w:t xml:space="preserve">           № 28</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1276"/>
      </w:tblGrid>
      <w:tr w:rsidR="00B523C6" w:rsidRPr="00CC7C25" w:rsidTr="004B796B">
        <w:tc>
          <w:tcPr>
            <w:tcW w:w="9322" w:type="dxa"/>
          </w:tcPr>
          <w:p w:rsidR="00B523C6" w:rsidRPr="00CC7C25" w:rsidRDefault="00B523C6" w:rsidP="004B796B">
            <w:pPr>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7A3594">
              <w:rPr>
                <w:rFonts w:ascii="Arial" w:hAnsi="Arial" w:cs="Arial"/>
                <w:b/>
                <w:sz w:val="32"/>
                <w:szCs w:val="32"/>
              </w:rPr>
              <w:t>Богатыревский</w:t>
            </w:r>
            <w:proofErr w:type="spellEnd"/>
            <w:r w:rsidR="009D2F53">
              <w:rPr>
                <w:rFonts w:ascii="Arial" w:hAnsi="Arial" w:cs="Arial"/>
                <w:b/>
                <w:sz w:val="32"/>
                <w:szCs w:val="32"/>
              </w:rPr>
              <w:t xml:space="preserve"> </w:t>
            </w:r>
            <w:r w:rsidRPr="00CC7C25">
              <w:rPr>
                <w:rFonts w:ascii="Arial" w:hAnsi="Arial" w:cs="Arial"/>
                <w:b/>
                <w:sz w:val="32"/>
                <w:szCs w:val="32"/>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6" w:type="dxa"/>
          </w:tcPr>
          <w:p w:rsidR="00B523C6" w:rsidRPr="00CC7C25" w:rsidRDefault="00B523C6" w:rsidP="004B796B">
            <w:pPr>
              <w:jc w:val="both"/>
              <w:rPr>
                <w:rFonts w:ascii="Arial" w:hAnsi="Arial" w:cs="Arial"/>
                <w:sz w:val="24"/>
                <w:szCs w:val="24"/>
              </w:rPr>
            </w:pPr>
          </w:p>
        </w:tc>
      </w:tr>
    </w:tbl>
    <w:p w:rsidR="00B523C6" w:rsidRPr="008F314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улучшения условий для развития</w:t>
      </w:r>
      <w:proofErr w:type="gramEnd"/>
      <w:r w:rsidRPr="00CC7C25">
        <w:rPr>
          <w:rFonts w:ascii="Arial" w:hAnsi="Arial" w:cs="Arial"/>
          <w:sz w:val="24"/>
          <w:szCs w:val="24"/>
        </w:rPr>
        <w:t xml:space="preserve"> малого и среднего предпринимательства на территории муниципального </w:t>
      </w:r>
      <w:r>
        <w:rPr>
          <w:rFonts w:ascii="Arial" w:hAnsi="Arial" w:cs="Arial"/>
          <w:sz w:val="24"/>
          <w:szCs w:val="24"/>
        </w:rPr>
        <w:t>образования «</w:t>
      </w:r>
      <w:proofErr w:type="spellStart"/>
      <w:r w:rsidR="007A3594">
        <w:rPr>
          <w:rFonts w:ascii="Arial" w:hAnsi="Arial" w:cs="Arial"/>
          <w:sz w:val="24"/>
          <w:szCs w:val="24"/>
        </w:rPr>
        <w:t>Богатыревский</w:t>
      </w:r>
      <w:proofErr w:type="spellEnd"/>
      <w:r w:rsidR="009D2F53">
        <w:rPr>
          <w:rFonts w:ascii="Arial" w:hAnsi="Arial" w:cs="Arial"/>
          <w:sz w:val="24"/>
          <w:szCs w:val="24"/>
        </w:rPr>
        <w:t xml:space="preserve"> </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w:t>
      </w:r>
      <w:r w:rsidRPr="008F3145">
        <w:rPr>
          <w:rFonts w:ascii="Arial" w:hAnsi="Arial" w:cs="Arial"/>
          <w:sz w:val="24"/>
          <w:szCs w:val="24"/>
        </w:rPr>
        <w:t xml:space="preserve">Администрация </w:t>
      </w:r>
      <w:r w:rsidR="007A3594">
        <w:rPr>
          <w:rFonts w:ascii="Arial" w:hAnsi="Arial" w:cs="Arial"/>
          <w:sz w:val="24"/>
          <w:szCs w:val="24"/>
        </w:rPr>
        <w:t>Богатыревского</w:t>
      </w:r>
      <w:r w:rsidR="009D2F53" w:rsidRPr="008F3145">
        <w:rPr>
          <w:rFonts w:ascii="Arial" w:hAnsi="Arial" w:cs="Arial"/>
          <w:sz w:val="24"/>
          <w:szCs w:val="24"/>
        </w:rPr>
        <w:t xml:space="preserve"> </w:t>
      </w:r>
      <w:r w:rsidRPr="008F3145">
        <w:rPr>
          <w:rFonts w:ascii="Arial" w:hAnsi="Arial" w:cs="Arial"/>
          <w:sz w:val="24"/>
          <w:szCs w:val="24"/>
        </w:rPr>
        <w:t xml:space="preserve"> сельсовета Горшеч</w:t>
      </w:r>
      <w:r w:rsidR="008F3145" w:rsidRPr="008F3145">
        <w:rPr>
          <w:rFonts w:ascii="Arial" w:hAnsi="Arial" w:cs="Arial"/>
          <w:sz w:val="24"/>
          <w:szCs w:val="24"/>
        </w:rPr>
        <w:t xml:space="preserve">енского района Курской области </w:t>
      </w:r>
      <w:r w:rsidRPr="008F3145">
        <w:rPr>
          <w:rFonts w:ascii="Arial" w:hAnsi="Arial" w:cs="Arial"/>
          <w:sz w:val="24"/>
          <w:szCs w:val="24"/>
        </w:rPr>
        <w:t>ПОСТАНОВЛЯЕТ:</w:t>
      </w:r>
    </w:p>
    <w:p w:rsidR="00B523C6" w:rsidRPr="008F314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9"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sidR="007A3594">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73467B"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10"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00B523C6"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w:t>
      </w:r>
      <w:r w:rsidR="00B523C6" w:rsidRPr="00CC7C25">
        <w:rPr>
          <w:rFonts w:ascii="Arial" w:hAnsi="Arial" w:cs="Arial"/>
          <w:sz w:val="24"/>
          <w:szCs w:val="24"/>
        </w:rPr>
        <w:lastRenderedPageBreak/>
        <w:t>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w:t>
      </w:r>
      <w:r w:rsidRPr="00CC7C25">
        <w:rPr>
          <w:rFonts w:ascii="Arial" w:eastAsia="Times New Roman" w:hAnsi="Arial" w:cs="Arial"/>
          <w:sz w:val="24"/>
          <w:szCs w:val="24"/>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7A3594">
        <w:rPr>
          <w:rFonts w:ascii="Arial" w:hAnsi="Arial" w:cs="Arial"/>
          <w:sz w:val="24"/>
          <w:szCs w:val="24"/>
        </w:rPr>
        <w:t>Богатыревского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уполномоченным органом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w:t>
      </w:r>
      <w:proofErr w:type="gramStart"/>
      <w:r w:rsidRPr="00CC7C25">
        <w:rPr>
          <w:rFonts w:ascii="Arial" w:hAnsi="Arial" w:cs="Arial"/>
          <w:sz w:val="24"/>
          <w:szCs w:val="24"/>
        </w:rPr>
        <w:t>по</w:t>
      </w:r>
      <w:proofErr w:type="gramEnd"/>
      <w:r w:rsidRPr="00CC7C25">
        <w:rPr>
          <w:rFonts w:ascii="Arial" w:hAnsi="Arial" w:cs="Arial"/>
          <w:sz w:val="24"/>
          <w:szCs w:val="24"/>
        </w:rPr>
        <w:t>:</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w:t>
      </w:r>
      <w:proofErr w:type="gramStart"/>
      <w:r w:rsidRPr="00CC7C25">
        <w:rPr>
          <w:rFonts w:ascii="Arial" w:hAnsi="Arial" w:cs="Arial"/>
          <w:sz w:val="24"/>
          <w:szCs w:val="24"/>
        </w:rPr>
        <w:t xml:space="preserve">Администрации </w:t>
      </w:r>
      <w:r w:rsidR="007A3594">
        <w:rPr>
          <w:rFonts w:ascii="Arial" w:hAnsi="Arial" w:cs="Arial"/>
          <w:sz w:val="24"/>
          <w:szCs w:val="24"/>
        </w:rPr>
        <w:t>Богатыревского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CC7C25">
        <w:rPr>
          <w:rFonts w:ascii="Arial" w:hAnsi="Arial" w:cs="Arial"/>
          <w:sz w:val="24"/>
          <w:szCs w:val="24"/>
        </w:rPr>
        <w:t xml:space="preserve"> настоящему постановлению. </w:t>
      </w:r>
    </w:p>
    <w:p w:rsidR="00B523C6" w:rsidRPr="009D2F53" w:rsidRDefault="00B523C6" w:rsidP="009D2F53">
      <w:pPr>
        <w:jc w:val="both"/>
        <w:rPr>
          <w:rFonts w:ascii="Arial" w:hAnsi="Arial" w:cs="Arial"/>
          <w:bCs/>
          <w:sz w:val="24"/>
          <w:szCs w:val="24"/>
        </w:rPr>
      </w:pPr>
      <w:r w:rsidRPr="00CC7C25">
        <w:rPr>
          <w:rFonts w:ascii="Arial" w:hAnsi="Arial" w:cs="Arial"/>
          <w:sz w:val="24"/>
          <w:szCs w:val="24"/>
        </w:rPr>
        <w:t xml:space="preserve">       4. </w:t>
      </w:r>
      <w:proofErr w:type="gramStart"/>
      <w:r w:rsidRPr="00CC7C25">
        <w:rPr>
          <w:rFonts w:ascii="Arial" w:hAnsi="Arial" w:cs="Arial"/>
          <w:sz w:val="24"/>
          <w:szCs w:val="24"/>
        </w:rPr>
        <w:t>П</w:t>
      </w:r>
      <w:r w:rsidR="009D2F53">
        <w:rPr>
          <w:rFonts w:ascii="Arial" w:hAnsi="Arial" w:cs="Arial"/>
          <w:sz w:val="24"/>
          <w:szCs w:val="24"/>
        </w:rPr>
        <w:t xml:space="preserve">остановления Администрации </w:t>
      </w:r>
      <w:r w:rsidR="007A3594">
        <w:rPr>
          <w:rFonts w:ascii="Arial" w:hAnsi="Arial" w:cs="Arial"/>
          <w:sz w:val="24"/>
          <w:szCs w:val="24"/>
        </w:rPr>
        <w:t>Богатыревского</w:t>
      </w:r>
      <w:r w:rsidR="009D2F53">
        <w:rPr>
          <w:rFonts w:ascii="Arial" w:hAnsi="Arial" w:cs="Arial"/>
          <w:sz w:val="24"/>
          <w:szCs w:val="24"/>
        </w:rPr>
        <w:t xml:space="preserve"> сельсове</w:t>
      </w:r>
      <w:r w:rsidR="00084618">
        <w:rPr>
          <w:rFonts w:ascii="Arial" w:hAnsi="Arial" w:cs="Arial"/>
          <w:sz w:val="24"/>
          <w:szCs w:val="24"/>
        </w:rPr>
        <w:t>та № 12 от 23</w:t>
      </w:r>
      <w:r w:rsidR="009D2F53">
        <w:rPr>
          <w:rFonts w:ascii="Arial" w:hAnsi="Arial" w:cs="Arial"/>
          <w:sz w:val="24"/>
          <w:szCs w:val="24"/>
        </w:rPr>
        <w:t>.05.2017 г.</w:t>
      </w:r>
      <w:r w:rsidRPr="00CC7C25">
        <w:rPr>
          <w:rFonts w:ascii="Arial" w:hAnsi="Arial" w:cs="Arial"/>
          <w:sz w:val="24"/>
          <w:szCs w:val="24"/>
        </w:rPr>
        <w:t xml:space="preserve"> «</w:t>
      </w:r>
      <w:r w:rsidR="009D2F53">
        <w:rPr>
          <w:rFonts w:ascii="Arial" w:hAnsi="Arial" w:cs="Arial"/>
          <w:sz w:val="24"/>
          <w:szCs w:val="24"/>
        </w:rPr>
        <w:t xml:space="preserve">Об утверждении порядка </w:t>
      </w:r>
      <w:r w:rsidR="009D2F53" w:rsidRPr="009D2F53">
        <w:rPr>
          <w:rFonts w:ascii="Arial" w:hAnsi="Arial" w:cs="Arial"/>
          <w:sz w:val="24"/>
          <w:szCs w:val="24"/>
        </w:rPr>
        <w:t>форми</w:t>
      </w:r>
      <w:r w:rsidR="009D2F53">
        <w:rPr>
          <w:rFonts w:ascii="Arial" w:hAnsi="Arial" w:cs="Arial"/>
          <w:sz w:val="24"/>
          <w:szCs w:val="24"/>
        </w:rPr>
        <w:t xml:space="preserve">рования, ведения, обязательного </w:t>
      </w:r>
      <w:r w:rsidR="009D2F53" w:rsidRPr="009D2F53">
        <w:rPr>
          <w:rFonts w:ascii="Arial" w:hAnsi="Arial" w:cs="Arial"/>
          <w:sz w:val="24"/>
          <w:szCs w:val="24"/>
        </w:rPr>
        <w:t>опубликования перечня муниципального имущест</w:t>
      </w:r>
      <w:r w:rsidR="009D2F53">
        <w:rPr>
          <w:rFonts w:ascii="Arial" w:hAnsi="Arial" w:cs="Arial"/>
          <w:sz w:val="24"/>
          <w:szCs w:val="24"/>
        </w:rPr>
        <w:t xml:space="preserve">ва муниципального образования   </w:t>
      </w:r>
      <w:r w:rsidR="009D2F53" w:rsidRPr="009D2F53">
        <w:rPr>
          <w:rFonts w:ascii="Arial" w:hAnsi="Arial" w:cs="Arial"/>
          <w:sz w:val="24"/>
          <w:szCs w:val="24"/>
        </w:rPr>
        <w:t>«</w:t>
      </w:r>
      <w:proofErr w:type="spellStart"/>
      <w:r w:rsidR="00F57160">
        <w:rPr>
          <w:rFonts w:ascii="Arial" w:hAnsi="Arial" w:cs="Arial"/>
          <w:sz w:val="24"/>
          <w:szCs w:val="24"/>
        </w:rPr>
        <w:t>Богатыревский</w:t>
      </w:r>
      <w:proofErr w:type="spellEnd"/>
      <w:r w:rsidR="009D2F53" w:rsidRPr="009D2F53">
        <w:rPr>
          <w:rFonts w:ascii="Arial" w:hAnsi="Arial" w:cs="Arial"/>
          <w:sz w:val="24"/>
          <w:szCs w:val="24"/>
        </w:rPr>
        <w:t xml:space="preserve"> сельсовет » Го</w:t>
      </w:r>
      <w:r w:rsidR="009D2F53">
        <w:rPr>
          <w:rFonts w:ascii="Arial" w:hAnsi="Arial" w:cs="Arial"/>
          <w:sz w:val="24"/>
          <w:szCs w:val="24"/>
        </w:rPr>
        <w:t xml:space="preserve">ршеченского района  </w:t>
      </w:r>
      <w:r w:rsidR="009D2F53" w:rsidRPr="009D2F53">
        <w:rPr>
          <w:rFonts w:ascii="Arial" w:hAnsi="Arial" w:cs="Arial"/>
          <w:sz w:val="24"/>
          <w:szCs w:val="24"/>
        </w:rPr>
        <w:t>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roofErr w:type="gramEnd"/>
      <w:r w:rsidR="009D2F53" w:rsidRPr="009D2F53">
        <w:rPr>
          <w:rFonts w:ascii="Arial" w:hAnsi="Arial" w:cs="Arial"/>
          <w:sz w:val="24"/>
          <w:szCs w:val="24"/>
        </w:rPr>
        <w:t xml:space="preserve"> </w:t>
      </w:r>
      <w:proofErr w:type="gramStart"/>
      <w:r w:rsidR="009D2F53" w:rsidRPr="009D2F53">
        <w:rPr>
          <w:rFonts w:ascii="Arial" w:hAnsi="Arial" w:cs="Arial"/>
          <w:sz w:val="24"/>
          <w:szCs w:val="24"/>
        </w:rPr>
        <w:t>предпринимательства в Российской Федерации</w:t>
      </w:r>
      <w:r w:rsidRPr="00CC7C25">
        <w:rPr>
          <w:rFonts w:ascii="Arial" w:hAnsi="Arial" w:cs="Arial"/>
          <w:sz w:val="24"/>
          <w:szCs w:val="24"/>
        </w:rPr>
        <w:t>»</w:t>
      </w:r>
      <w:r w:rsidR="0051516D">
        <w:rPr>
          <w:rFonts w:ascii="Arial" w:hAnsi="Arial" w:cs="Arial"/>
          <w:sz w:val="24"/>
          <w:szCs w:val="24"/>
        </w:rPr>
        <w:t xml:space="preserve"> и № 18</w:t>
      </w:r>
      <w:r w:rsidR="00425B2A">
        <w:rPr>
          <w:rFonts w:ascii="Arial" w:hAnsi="Arial" w:cs="Arial"/>
          <w:sz w:val="24"/>
          <w:szCs w:val="24"/>
        </w:rPr>
        <w:t xml:space="preserve"> от </w:t>
      </w:r>
      <w:r w:rsidR="0051516D">
        <w:rPr>
          <w:rFonts w:ascii="Arial" w:hAnsi="Arial" w:cs="Arial"/>
          <w:sz w:val="24"/>
          <w:szCs w:val="24"/>
        </w:rPr>
        <w:t>03.07</w:t>
      </w:r>
      <w:r w:rsidR="009D2F53">
        <w:rPr>
          <w:rFonts w:ascii="Arial" w:hAnsi="Arial" w:cs="Arial"/>
          <w:sz w:val="24"/>
          <w:szCs w:val="24"/>
        </w:rPr>
        <w:t>.2017 г.</w:t>
      </w:r>
      <w:r w:rsidR="00425B2A">
        <w:rPr>
          <w:rFonts w:ascii="Arial" w:hAnsi="Arial" w:cs="Arial"/>
          <w:sz w:val="24"/>
          <w:szCs w:val="24"/>
        </w:rPr>
        <w:t xml:space="preserve"> </w:t>
      </w:r>
      <w:r w:rsidR="00425B2A" w:rsidRPr="008C31F8">
        <w:rPr>
          <w:rFonts w:ascii="Arial" w:hAnsi="Arial" w:cs="Arial"/>
          <w:sz w:val="24"/>
          <w:szCs w:val="24"/>
        </w:rPr>
        <w:t>«</w:t>
      </w:r>
      <w:r w:rsidR="009D2F53" w:rsidRPr="009D2F53">
        <w:rPr>
          <w:rFonts w:ascii="Arial" w:hAnsi="Arial" w:cs="Arial"/>
          <w:bCs/>
          <w:sz w:val="24"/>
          <w:szCs w:val="24"/>
        </w:rPr>
        <w:t>О вн</w:t>
      </w:r>
      <w:r w:rsidR="009D2F53">
        <w:rPr>
          <w:rFonts w:ascii="Arial" w:hAnsi="Arial" w:cs="Arial"/>
          <w:bCs/>
          <w:sz w:val="24"/>
          <w:szCs w:val="24"/>
        </w:rPr>
        <w:t xml:space="preserve">есении изменений в  порядок </w:t>
      </w:r>
      <w:r w:rsidR="009D2F53" w:rsidRPr="009D2F53">
        <w:rPr>
          <w:rFonts w:ascii="Arial" w:hAnsi="Arial" w:cs="Arial"/>
          <w:bCs/>
          <w:sz w:val="24"/>
          <w:szCs w:val="24"/>
        </w:rPr>
        <w:t>форми</w:t>
      </w:r>
      <w:r w:rsidR="009D2F53">
        <w:rPr>
          <w:rFonts w:ascii="Arial" w:hAnsi="Arial" w:cs="Arial"/>
          <w:bCs/>
          <w:sz w:val="24"/>
          <w:szCs w:val="24"/>
        </w:rPr>
        <w:t xml:space="preserve">рования, ведения, обязательного </w:t>
      </w:r>
      <w:r w:rsidR="009D2F53" w:rsidRPr="009D2F53">
        <w:rPr>
          <w:rFonts w:ascii="Arial" w:hAnsi="Arial" w:cs="Arial"/>
          <w:bCs/>
          <w:sz w:val="24"/>
          <w:szCs w:val="24"/>
        </w:rPr>
        <w:t>опубликования перечня муниципального имущества муниципального образования  «</w:t>
      </w:r>
      <w:proofErr w:type="spellStart"/>
      <w:r w:rsidR="00F57160">
        <w:rPr>
          <w:rFonts w:ascii="Arial" w:hAnsi="Arial" w:cs="Arial"/>
          <w:bCs/>
          <w:sz w:val="24"/>
          <w:szCs w:val="24"/>
        </w:rPr>
        <w:t>Богатыревский</w:t>
      </w:r>
      <w:proofErr w:type="spellEnd"/>
      <w:r w:rsidR="009D2F53" w:rsidRPr="009D2F53">
        <w:rPr>
          <w:rFonts w:ascii="Arial" w:hAnsi="Arial" w:cs="Arial"/>
          <w:bCs/>
          <w:sz w:val="24"/>
          <w:szCs w:val="24"/>
        </w:rPr>
        <w:t xml:space="preserve"> сельсовет »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w:t>
      </w:r>
      <w:proofErr w:type="gramEnd"/>
      <w:r w:rsidR="009D2F53" w:rsidRPr="009D2F53">
        <w:rPr>
          <w:rFonts w:ascii="Arial" w:hAnsi="Arial" w:cs="Arial"/>
          <w:bCs/>
          <w:sz w:val="24"/>
          <w:szCs w:val="24"/>
        </w:rPr>
        <w:t xml:space="preserve">  малого и среднего предпринимательства в Российской Федерации», </w:t>
      </w:r>
      <w:proofErr w:type="gramStart"/>
      <w:r w:rsidR="009D2F53" w:rsidRPr="009D2F53">
        <w:rPr>
          <w:rFonts w:ascii="Arial" w:hAnsi="Arial" w:cs="Arial"/>
          <w:bCs/>
          <w:sz w:val="24"/>
          <w:szCs w:val="24"/>
        </w:rPr>
        <w:t>утвержденный</w:t>
      </w:r>
      <w:proofErr w:type="gramEnd"/>
      <w:r w:rsidR="009D2F53" w:rsidRPr="009D2F53">
        <w:rPr>
          <w:rFonts w:ascii="Arial" w:hAnsi="Arial" w:cs="Arial"/>
          <w:bCs/>
          <w:sz w:val="24"/>
          <w:szCs w:val="24"/>
        </w:rPr>
        <w:t xml:space="preserve"> постановлением Администрации </w:t>
      </w:r>
      <w:r w:rsidR="007A3594">
        <w:rPr>
          <w:rFonts w:ascii="Arial" w:hAnsi="Arial" w:cs="Arial"/>
          <w:bCs/>
          <w:sz w:val="24"/>
          <w:szCs w:val="24"/>
        </w:rPr>
        <w:t>Богатыревского</w:t>
      </w:r>
      <w:r w:rsidR="009D2F53" w:rsidRPr="009D2F53">
        <w:rPr>
          <w:rFonts w:ascii="Arial" w:hAnsi="Arial" w:cs="Arial"/>
          <w:bCs/>
          <w:sz w:val="24"/>
          <w:szCs w:val="24"/>
        </w:rPr>
        <w:t xml:space="preserve"> сельс</w:t>
      </w:r>
      <w:r w:rsidR="0051516D">
        <w:rPr>
          <w:rFonts w:ascii="Arial" w:hAnsi="Arial" w:cs="Arial"/>
          <w:bCs/>
          <w:sz w:val="24"/>
          <w:szCs w:val="24"/>
        </w:rPr>
        <w:t>овета Горшеченского района №  12 от 23</w:t>
      </w:r>
      <w:r w:rsidR="009D2F53" w:rsidRPr="009D2F53">
        <w:rPr>
          <w:rFonts w:ascii="Arial" w:hAnsi="Arial" w:cs="Arial"/>
          <w:bCs/>
          <w:sz w:val="24"/>
          <w:szCs w:val="24"/>
        </w:rPr>
        <w:t>.05.2017 г.</w:t>
      </w:r>
      <w:r w:rsidR="00425B2A" w:rsidRPr="008C31F8">
        <w:rPr>
          <w:rFonts w:ascii="Arial" w:hAnsi="Arial" w:cs="Arial"/>
          <w:bCs/>
          <w:sz w:val="24"/>
          <w:szCs w:val="24"/>
        </w:rPr>
        <w:t>»</w:t>
      </w:r>
      <w:r w:rsidRPr="008C31F8">
        <w:rPr>
          <w:rFonts w:ascii="Arial" w:hAnsi="Arial" w:cs="Arial"/>
          <w:sz w:val="24"/>
          <w:szCs w:val="24"/>
        </w:rPr>
        <w:t xml:space="preserve"> с</w:t>
      </w:r>
      <w:r w:rsidRPr="00CC7C25">
        <w:rPr>
          <w:rFonts w:ascii="Arial" w:hAnsi="Arial" w:cs="Arial"/>
          <w:sz w:val="24"/>
          <w:szCs w:val="24"/>
        </w:rPr>
        <w:t>читать утратившим</w:t>
      </w:r>
      <w:r w:rsidR="009D2F53">
        <w:rPr>
          <w:rFonts w:ascii="Arial" w:hAnsi="Arial" w:cs="Arial"/>
          <w:sz w:val="24"/>
          <w:szCs w:val="24"/>
        </w:rPr>
        <w:t>и</w:t>
      </w:r>
      <w:r w:rsidRPr="00CC7C25">
        <w:rPr>
          <w:rFonts w:ascii="Arial" w:hAnsi="Arial" w:cs="Arial"/>
          <w:sz w:val="24"/>
          <w:szCs w:val="24"/>
        </w:rPr>
        <w:t xml:space="preserve"> силу.</w:t>
      </w:r>
    </w:p>
    <w:p w:rsidR="00B523C6" w:rsidRPr="00CC7C25" w:rsidRDefault="00B523C6" w:rsidP="00B523C6">
      <w:pPr>
        <w:jc w:val="both"/>
        <w:rPr>
          <w:rFonts w:ascii="Arial" w:hAnsi="Arial" w:cs="Arial"/>
          <w:sz w:val="24"/>
          <w:szCs w:val="24"/>
        </w:rPr>
      </w:pPr>
      <w:r w:rsidRPr="00CC7C25">
        <w:rPr>
          <w:rFonts w:ascii="Arial" w:hAnsi="Arial" w:cs="Arial"/>
          <w:sz w:val="24"/>
          <w:szCs w:val="24"/>
        </w:rPr>
        <w:lastRenderedPageBreak/>
        <w:t xml:space="preserve">       5. </w:t>
      </w:r>
      <w:proofErr w:type="gramStart"/>
      <w:r w:rsidRPr="00CC7C25">
        <w:rPr>
          <w:rFonts w:ascii="Arial" w:hAnsi="Arial" w:cs="Arial"/>
          <w:sz w:val="24"/>
          <w:szCs w:val="24"/>
        </w:rPr>
        <w:t>Контроль за</w:t>
      </w:r>
      <w:proofErr w:type="gramEnd"/>
      <w:r w:rsidRPr="00CC7C25">
        <w:rPr>
          <w:rFonts w:ascii="Arial" w:hAnsi="Arial" w:cs="Arial"/>
          <w:sz w:val="24"/>
          <w:szCs w:val="24"/>
        </w:rPr>
        <w:t xml:space="preserve"> выполнением настоящего постановления  </w:t>
      </w:r>
      <w:r w:rsidR="009D2F53">
        <w:rPr>
          <w:rFonts w:ascii="Arial" w:hAnsi="Arial" w:cs="Arial"/>
          <w:sz w:val="24"/>
          <w:szCs w:val="24"/>
        </w:rPr>
        <w:t xml:space="preserve">оставляю за собой. </w:t>
      </w:r>
    </w:p>
    <w:p w:rsidR="00B523C6"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муниципального </w:t>
      </w:r>
      <w:r>
        <w:rPr>
          <w:sz w:val="24"/>
          <w:szCs w:val="24"/>
        </w:rPr>
        <w:t>образования «</w:t>
      </w:r>
      <w:proofErr w:type="spellStart"/>
      <w:r w:rsidR="00F57160">
        <w:rPr>
          <w:sz w:val="24"/>
          <w:szCs w:val="24"/>
        </w:rPr>
        <w:t>Богатыревский</w:t>
      </w:r>
      <w:proofErr w:type="spellEnd"/>
      <w:r w:rsidR="009D2F53">
        <w:rPr>
          <w:sz w:val="24"/>
          <w:szCs w:val="24"/>
        </w:rPr>
        <w:t xml:space="preserve"> </w:t>
      </w:r>
      <w:r>
        <w:rPr>
          <w:sz w:val="24"/>
          <w:szCs w:val="24"/>
        </w:rPr>
        <w:t xml:space="preserve"> сельсовет» </w:t>
      </w:r>
      <w:r w:rsidRPr="00CC7C25">
        <w:rPr>
          <w:sz w:val="24"/>
          <w:szCs w:val="24"/>
        </w:rPr>
        <w:t>Горшеченск</w:t>
      </w:r>
      <w:r>
        <w:rPr>
          <w:sz w:val="24"/>
          <w:szCs w:val="24"/>
        </w:rPr>
        <w:t>ого</w:t>
      </w:r>
      <w:r w:rsidRPr="00CC7C25">
        <w:rPr>
          <w:sz w:val="24"/>
          <w:szCs w:val="24"/>
        </w:rPr>
        <w:t xml:space="preserve"> район</w:t>
      </w:r>
      <w:r>
        <w:rPr>
          <w:sz w:val="24"/>
          <w:szCs w:val="24"/>
        </w:rPr>
        <w:t>а</w:t>
      </w:r>
      <w:r w:rsidRPr="00CC7C25">
        <w:rPr>
          <w:sz w:val="24"/>
          <w:szCs w:val="24"/>
        </w:rPr>
        <w:t xml:space="preserve"> Курской области.</w:t>
      </w:r>
    </w:p>
    <w:p w:rsidR="0051516D" w:rsidRDefault="0051516D" w:rsidP="00B523C6">
      <w:pPr>
        <w:pStyle w:val="ConsPlusNormal"/>
        <w:ind w:firstLine="540"/>
        <w:jc w:val="both"/>
        <w:outlineLvl w:val="0"/>
        <w:rPr>
          <w:sz w:val="24"/>
          <w:szCs w:val="24"/>
        </w:rPr>
      </w:pPr>
    </w:p>
    <w:p w:rsidR="0051516D" w:rsidRPr="00CC7C25" w:rsidRDefault="0051516D" w:rsidP="00B523C6">
      <w:pPr>
        <w:pStyle w:val="ConsPlusNormal"/>
        <w:ind w:firstLine="540"/>
        <w:jc w:val="both"/>
        <w:outlineLvl w:val="0"/>
        <w:rPr>
          <w:sz w:val="24"/>
          <w:szCs w:val="24"/>
        </w:rPr>
      </w:pPr>
    </w:p>
    <w:p w:rsidR="00B523C6" w:rsidRPr="00CC7C25" w:rsidRDefault="00B523C6" w:rsidP="00B523C6">
      <w:pPr>
        <w:spacing w:after="0" w:line="240" w:lineRule="auto"/>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 xml:space="preserve">Глава </w:t>
      </w:r>
      <w:r w:rsidR="007A3594">
        <w:rPr>
          <w:rFonts w:ascii="Arial" w:hAnsi="Arial" w:cs="Arial"/>
          <w:b/>
          <w:sz w:val="24"/>
          <w:szCs w:val="24"/>
        </w:rPr>
        <w:t>Богатыревского</w:t>
      </w:r>
      <w:r w:rsidR="009D2F53">
        <w:rPr>
          <w:rFonts w:ascii="Arial" w:hAnsi="Arial" w:cs="Arial"/>
          <w:b/>
          <w:sz w:val="24"/>
          <w:szCs w:val="24"/>
        </w:rPr>
        <w:t xml:space="preserve"> </w:t>
      </w:r>
      <w:r w:rsidRPr="00CC7C25">
        <w:rPr>
          <w:rFonts w:ascii="Arial" w:hAnsi="Arial" w:cs="Arial"/>
          <w:b/>
          <w:sz w:val="24"/>
          <w:szCs w:val="24"/>
        </w:rPr>
        <w:t xml:space="preserve"> сельсовета </w:t>
      </w:r>
    </w:p>
    <w:p w:rsidR="00B523C6" w:rsidRPr="00CC7C25" w:rsidRDefault="00B523C6" w:rsidP="009D2F53">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Горшеченского района</w:t>
      </w:r>
      <w:r w:rsidR="009D2F53">
        <w:rPr>
          <w:rFonts w:ascii="Arial" w:hAnsi="Arial" w:cs="Arial"/>
          <w:b/>
          <w:sz w:val="24"/>
          <w:szCs w:val="24"/>
        </w:rPr>
        <w:t xml:space="preserve">                           </w:t>
      </w:r>
      <w:r w:rsidR="0051516D">
        <w:rPr>
          <w:rFonts w:ascii="Arial" w:hAnsi="Arial" w:cs="Arial"/>
          <w:b/>
          <w:sz w:val="24"/>
          <w:szCs w:val="24"/>
        </w:rPr>
        <w:t xml:space="preserve">                           </w:t>
      </w:r>
      <w:r w:rsidR="009D2F53">
        <w:rPr>
          <w:rFonts w:ascii="Arial" w:hAnsi="Arial" w:cs="Arial"/>
          <w:b/>
          <w:sz w:val="24"/>
          <w:szCs w:val="24"/>
        </w:rPr>
        <w:t xml:space="preserve">  </w:t>
      </w:r>
      <w:proofErr w:type="spellStart"/>
      <w:r w:rsidR="0051516D">
        <w:rPr>
          <w:rFonts w:ascii="Arial" w:hAnsi="Arial" w:cs="Arial"/>
          <w:b/>
          <w:sz w:val="24"/>
          <w:szCs w:val="24"/>
        </w:rPr>
        <w:t>Т.А.Звягинцева</w:t>
      </w:r>
      <w:proofErr w:type="spellEnd"/>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8C31F8" w:rsidRDefault="00B523C6" w:rsidP="00B523C6">
      <w:pPr>
        <w:spacing w:line="240" w:lineRule="auto"/>
        <w:contextualSpacing/>
        <w:jc w:val="center"/>
        <w:rPr>
          <w:rFonts w:ascii="Arial" w:hAnsi="Arial" w:cs="Arial"/>
          <w:sz w:val="24"/>
          <w:szCs w:val="24"/>
        </w:rPr>
      </w:pPr>
      <w:r w:rsidRPr="00CC7C25">
        <w:rPr>
          <w:rFonts w:ascii="Arial" w:hAnsi="Arial" w:cs="Arial"/>
          <w:sz w:val="24"/>
          <w:szCs w:val="24"/>
        </w:rPr>
        <w:t xml:space="preserve">                            </w:t>
      </w:r>
      <w:r w:rsidRPr="00CC7C25">
        <w:rPr>
          <w:rFonts w:ascii="Arial" w:hAnsi="Arial" w:cs="Arial"/>
          <w:sz w:val="24"/>
          <w:szCs w:val="24"/>
        </w:rPr>
        <w:tab/>
        <w:t xml:space="preserve">                          </w:t>
      </w: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B523C6">
            <w:pPr>
              <w:ind w:left="182"/>
              <w:contextualSpacing/>
              <w:jc w:val="both"/>
              <w:rPr>
                <w:rFonts w:ascii="Arial" w:eastAsiaTheme="minorEastAsia" w:hAnsi="Arial" w:cs="Arial"/>
                <w:sz w:val="24"/>
                <w:szCs w:val="24"/>
              </w:rPr>
            </w:pPr>
            <w:proofErr w:type="gramStart"/>
            <w:r w:rsidRPr="009D2F53">
              <w:rPr>
                <w:rFonts w:ascii="Arial" w:eastAsiaTheme="minorEastAsia" w:hAnsi="Arial" w:cs="Arial"/>
                <w:sz w:val="24"/>
                <w:szCs w:val="24"/>
              </w:rPr>
              <w:t>Утвержден</w:t>
            </w:r>
            <w:proofErr w:type="gramEnd"/>
            <w:r w:rsidRPr="009D2F53">
              <w:rPr>
                <w:rFonts w:ascii="Arial" w:eastAsiaTheme="minorEastAsia" w:hAnsi="Arial" w:cs="Arial"/>
                <w:sz w:val="24"/>
                <w:szCs w:val="24"/>
              </w:rPr>
              <w:t xml:space="preserve"> Постановлением Администрации </w:t>
            </w:r>
            <w:r w:rsidR="007A3594">
              <w:rPr>
                <w:rFonts w:ascii="Arial" w:eastAsiaTheme="minorEastAsia" w:hAnsi="Arial" w:cs="Arial"/>
                <w:sz w:val="24"/>
                <w:szCs w:val="24"/>
              </w:rPr>
              <w:t>Богатыревского</w:t>
            </w:r>
            <w:r w:rsidR="009D2F53" w:rsidRPr="009D2F53">
              <w:rPr>
                <w:rFonts w:ascii="Arial" w:eastAsiaTheme="minorEastAsia" w:hAnsi="Arial" w:cs="Arial"/>
                <w:sz w:val="24"/>
                <w:szCs w:val="24"/>
              </w:rPr>
              <w:t xml:space="preserve"> </w:t>
            </w:r>
            <w:r w:rsidRPr="009D2F53">
              <w:rPr>
                <w:rFonts w:ascii="Arial" w:eastAsiaTheme="minorEastAsia" w:hAnsi="Arial" w:cs="Arial"/>
                <w:sz w:val="24"/>
                <w:szCs w:val="24"/>
              </w:rPr>
              <w:t xml:space="preserve"> сельсовета Горшеченского района Курской области</w:t>
            </w:r>
          </w:p>
          <w:p w:rsidR="00B523C6" w:rsidRPr="009D2F53" w:rsidRDefault="00B523C6" w:rsidP="009D2F53">
            <w:pPr>
              <w:ind w:left="182"/>
              <w:contextualSpacing/>
              <w:rPr>
                <w:rFonts w:ascii="Arial" w:eastAsiaTheme="minorEastAsia" w:hAnsi="Arial" w:cs="Arial"/>
                <w:i/>
                <w:sz w:val="24"/>
                <w:szCs w:val="24"/>
              </w:rPr>
            </w:pPr>
            <w:r w:rsidRPr="009D2F53">
              <w:rPr>
                <w:rFonts w:ascii="Arial" w:eastAsiaTheme="minorEastAsia" w:hAnsi="Arial" w:cs="Arial"/>
                <w:sz w:val="24"/>
                <w:szCs w:val="24"/>
              </w:rPr>
              <w:t>от «</w:t>
            </w:r>
            <w:r w:rsidR="00A846BD">
              <w:rPr>
                <w:rFonts w:ascii="Arial" w:eastAsiaTheme="minorEastAsia" w:hAnsi="Arial" w:cs="Arial"/>
                <w:sz w:val="24"/>
                <w:szCs w:val="24"/>
              </w:rPr>
              <w:t>08</w:t>
            </w:r>
            <w:r w:rsidRPr="009D2F53">
              <w:rPr>
                <w:rFonts w:ascii="Arial" w:eastAsiaTheme="minorEastAsia" w:hAnsi="Arial" w:cs="Arial"/>
                <w:sz w:val="24"/>
                <w:szCs w:val="24"/>
              </w:rPr>
              <w:t>»</w:t>
            </w:r>
            <w:r w:rsidR="009D2F53">
              <w:rPr>
                <w:rFonts w:ascii="Arial" w:eastAsiaTheme="minorEastAsia" w:hAnsi="Arial" w:cs="Arial"/>
                <w:sz w:val="24"/>
                <w:szCs w:val="24"/>
              </w:rPr>
              <w:t xml:space="preserve"> </w:t>
            </w:r>
            <w:r w:rsidRPr="009D2F53">
              <w:rPr>
                <w:rFonts w:ascii="Arial" w:eastAsiaTheme="minorEastAsia" w:hAnsi="Arial" w:cs="Arial"/>
                <w:sz w:val="24"/>
                <w:szCs w:val="24"/>
              </w:rPr>
              <w:t>июля</w:t>
            </w:r>
            <w:r w:rsidR="009D2F53">
              <w:rPr>
                <w:rFonts w:ascii="Arial" w:eastAsiaTheme="minorEastAsia" w:hAnsi="Arial" w:cs="Arial"/>
                <w:sz w:val="24"/>
                <w:szCs w:val="24"/>
              </w:rPr>
              <w:t xml:space="preserve"> </w:t>
            </w:r>
            <w:r w:rsidRPr="009D2F53">
              <w:rPr>
                <w:rFonts w:ascii="Arial" w:eastAsiaTheme="minorEastAsia" w:hAnsi="Arial" w:cs="Arial"/>
                <w:sz w:val="24"/>
                <w:szCs w:val="24"/>
              </w:rPr>
              <w:t xml:space="preserve">2019г. № </w:t>
            </w:r>
            <w:r w:rsidR="00A846BD">
              <w:rPr>
                <w:rFonts w:ascii="Arial" w:eastAsiaTheme="minorEastAsia" w:hAnsi="Arial" w:cs="Arial"/>
                <w:sz w:val="24"/>
                <w:szCs w:val="24"/>
              </w:rPr>
              <w:t>28</w:t>
            </w:r>
          </w:p>
        </w:tc>
      </w:tr>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4B796B">
            <w:pPr>
              <w:ind w:left="182"/>
              <w:contextualSpacing/>
              <w:rPr>
                <w:rFonts w:ascii="Arial" w:eastAsiaTheme="minorEastAsia" w:hAnsi="Arial" w:cs="Arial"/>
                <w:sz w:val="24"/>
                <w:szCs w:val="24"/>
              </w:rPr>
            </w:pPr>
          </w:p>
        </w:tc>
      </w:tr>
    </w:tbl>
    <w:p w:rsidR="00B523C6" w:rsidRPr="009D2F53" w:rsidRDefault="00B523C6" w:rsidP="00B523C6">
      <w:pPr>
        <w:spacing w:line="240" w:lineRule="auto"/>
        <w:contextualSpacing/>
        <w:rPr>
          <w:rFonts w:ascii="Arial" w:hAnsi="Arial" w:cs="Arial"/>
          <w:sz w:val="24"/>
          <w:szCs w:val="24"/>
        </w:rPr>
      </w:pPr>
      <w:r w:rsidRPr="009D2F53">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F57160">
        <w:rPr>
          <w:rFonts w:ascii="Arial" w:hAnsi="Arial" w:cs="Arial"/>
          <w:b/>
          <w:bCs/>
          <w:sz w:val="24"/>
          <w:szCs w:val="24"/>
        </w:rPr>
        <w:t>БОГАТЫРЕВСКИЙ</w:t>
      </w:r>
      <w:r w:rsidR="009D2F53">
        <w:rPr>
          <w:rFonts w:ascii="Arial" w:hAnsi="Arial" w:cs="Arial"/>
          <w:b/>
          <w:bCs/>
          <w:sz w:val="24"/>
          <w:szCs w:val="24"/>
        </w:rPr>
        <w:t xml:space="preserve"> </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r w:rsidRPr="00CC7C25">
        <w:rPr>
          <w:rFonts w:ascii="Arial" w:hAnsi="Arial" w:cs="Arial"/>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CC7C25">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contextualSpacing/>
        <w:jc w:val="center"/>
        <w:outlineLvl w:val="0"/>
        <w:rPr>
          <w:rFonts w:ascii="Arial" w:hAnsi="Arial" w:cs="Arial"/>
          <w:sz w:val="24"/>
          <w:szCs w:val="24"/>
        </w:rPr>
      </w:pPr>
      <w:r w:rsidRPr="00CC7C25">
        <w:rPr>
          <w:rFonts w:ascii="Arial" w:hAnsi="Arial" w:cs="Arial"/>
          <w:sz w:val="24"/>
          <w:szCs w:val="24"/>
        </w:rPr>
        <w:t xml:space="preserve">2. Цели создания и основные принципы формирования, </w:t>
      </w:r>
      <w:r w:rsidRPr="00CC7C25">
        <w:rPr>
          <w:rFonts w:ascii="Arial" w:hAnsi="Arial" w:cs="Arial"/>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CC7C25">
        <w:rPr>
          <w:rFonts w:ascii="Arial" w:hAnsi="Arial" w:cs="Arial"/>
          <w:sz w:val="24"/>
          <w:szCs w:val="24"/>
        </w:rPr>
        <w:t>В Перечне содержатся сведения о муниципальном имуществе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w:t>
      </w:r>
      <w:proofErr w:type="gramEnd"/>
      <w:r w:rsidRPr="00CC7C25">
        <w:rPr>
          <w:rFonts w:ascii="Arial" w:hAnsi="Arial" w:cs="Arial"/>
          <w:sz w:val="24"/>
          <w:szCs w:val="24"/>
        </w:rPr>
        <w:t xml:space="preserve"> </w:t>
      </w:r>
      <w:proofErr w:type="gramStart"/>
      <w:r w:rsidRPr="00CC7C25">
        <w:rPr>
          <w:rFonts w:ascii="Arial" w:hAnsi="Arial" w:cs="Arial"/>
          <w:sz w:val="24"/>
          <w:szCs w:val="24"/>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w:t>
      </w:r>
      <w:r w:rsidRPr="00CC7C25">
        <w:rPr>
          <w:rFonts w:ascii="Arial" w:hAnsi="Arial" w:cs="Arial"/>
          <w:sz w:val="24"/>
          <w:szCs w:val="24"/>
        </w:rPr>
        <w:lastRenderedPageBreak/>
        <w:t>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CC7C25">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w:t>
      </w:r>
      <w:proofErr w:type="spellStart"/>
      <w:r w:rsidRPr="00CC7C25">
        <w:rPr>
          <w:rFonts w:ascii="Arial" w:hAnsi="Arial" w:cs="Arial"/>
          <w:sz w:val="24"/>
          <w:szCs w:val="24"/>
        </w:rPr>
        <w:t>возмездно</w:t>
      </w:r>
      <w:proofErr w:type="spellEnd"/>
      <w:r w:rsidRPr="00CC7C25">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7A3594">
        <w:rPr>
          <w:rFonts w:ascii="Arial" w:hAnsi="Arial" w:cs="Arial"/>
          <w:sz w:val="24"/>
          <w:szCs w:val="24"/>
        </w:rPr>
        <w:t>Богатыревского</w:t>
      </w:r>
      <w:r w:rsidR="009D2F53">
        <w:rPr>
          <w:rFonts w:ascii="Arial" w:hAnsi="Arial" w:cs="Arial"/>
          <w:sz w:val="24"/>
          <w:szCs w:val="24"/>
        </w:rPr>
        <w:t xml:space="preserve"> </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CC7C25" w:rsidRDefault="00B523C6" w:rsidP="00B523C6">
      <w:pPr>
        <w:jc w:val="center"/>
        <w:rPr>
          <w:rFonts w:ascii="Arial" w:hAnsi="Arial" w:cs="Arial"/>
          <w:sz w:val="24"/>
          <w:szCs w:val="24"/>
        </w:rPr>
      </w:pPr>
      <w:r w:rsidRPr="00CC7C25">
        <w:rPr>
          <w:rFonts w:ascii="Arial" w:hAnsi="Arial" w:cs="Arial"/>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7A3594">
        <w:rPr>
          <w:rFonts w:ascii="Arial" w:hAnsi="Arial" w:cs="Arial"/>
          <w:sz w:val="24"/>
          <w:szCs w:val="24"/>
        </w:rPr>
        <w:t>Богатыревского</w:t>
      </w:r>
      <w:r w:rsidR="009D2F53">
        <w:rPr>
          <w:rFonts w:ascii="Arial" w:hAnsi="Arial" w:cs="Arial"/>
          <w:sz w:val="24"/>
          <w:szCs w:val="24"/>
        </w:rPr>
        <w:t xml:space="preserve"> </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7A3594">
        <w:rPr>
          <w:rFonts w:ascii="Arial" w:hAnsi="Arial" w:cs="Arial"/>
          <w:sz w:val="24"/>
          <w:szCs w:val="24"/>
        </w:rPr>
        <w:t>Богатыревского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w:t>
      </w:r>
      <w:proofErr w:type="gramStart"/>
      <w:r w:rsidRPr="00CC7C25">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CC7C25">
        <w:rPr>
          <w:rFonts w:ascii="Arial" w:hAnsi="Arial" w:cs="Arial"/>
          <w:sz w:val="24"/>
          <w:szCs w:val="24"/>
        </w:rPr>
        <w:t xml:space="preserve">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w:t>
      </w:r>
      <w:proofErr w:type="gramStart"/>
      <w:r w:rsidRPr="00CC7C25">
        <w:rPr>
          <w:rFonts w:ascii="Arial" w:hAnsi="Arial" w:cs="Arial"/>
          <w:sz w:val="24"/>
          <w:szCs w:val="24"/>
        </w:rPr>
        <w:t xml:space="preserve">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7A3594">
        <w:rPr>
          <w:rFonts w:ascii="Arial" w:hAnsi="Arial" w:cs="Arial"/>
          <w:sz w:val="24"/>
          <w:szCs w:val="24"/>
        </w:rPr>
        <w:t>Богатыревского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CC7C25">
        <w:rPr>
          <w:rFonts w:ascii="Arial" w:hAnsi="Arial" w:cs="Arial"/>
          <w:sz w:val="24"/>
          <w:szCs w:val="24"/>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3.3.11. </w:t>
      </w:r>
      <w:proofErr w:type="gramStart"/>
      <w:r w:rsidRPr="00CC7C25">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w:t>
      </w:r>
      <w:proofErr w:type="gramStart"/>
      <w:r w:rsidRPr="00CC7C25">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7A3594">
        <w:rPr>
          <w:rFonts w:ascii="Arial" w:hAnsi="Arial" w:cs="Arial"/>
          <w:sz w:val="24"/>
          <w:szCs w:val="24"/>
        </w:rPr>
        <w:t>Богатыревского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w:t>
      </w:r>
      <w:proofErr w:type="gramEnd"/>
      <w:r w:rsidRPr="00CC7C25">
        <w:rPr>
          <w:rFonts w:ascii="Arial" w:hAnsi="Arial" w:cs="Arial"/>
          <w:sz w:val="24"/>
          <w:szCs w:val="24"/>
        </w:rPr>
        <w:t xml:space="preserve"> в реестр муниципального имущества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w:t>
      </w:r>
      <w:proofErr w:type="gramStart"/>
      <w:r w:rsidRPr="00CC7C25">
        <w:rPr>
          <w:rFonts w:ascii="Arial" w:hAnsi="Arial" w:cs="Arial"/>
          <w:sz w:val="24"/>
          <w:szCs w:val="24"/>
        </w:rPr>
        <w:t xml:space="preserve"> .</w:t>
      </w:r>
      <w:proofErr w:type="gramEnd"/>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1" w:name="Par5"/>
      <w:bookmarkEnd w:id="1"/>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6"/>
      <w:bookmarkEnd w:id="2"/>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proofErr w:type="spellStart"/>
      <w:r w:rsidR="00F57160">
        <w:rPr>
          <w:rFonts w:ascii="Arial" w:hAnsi="Arial" w:cs="Arial"/>
          <w:sz w:val="24"/>
          <w:szCs w:val="24"/>
        </w:rPr>
        <w:t>Богатыревский</w:t>
      </w:r>
      <w:proofErr w:type="spellEnd"/>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3.10.5. </w:t>
      </w:r>
      <w:proofErr w:type="gramStart"/>
      <w:r w:rsidRPr="00CC7C25">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CC7C25">
        <w:rPr>
          <w:rFonts w:ascii="Arial" w:hAnsi="Arial" w:cs="Arial"/>
          <w:sz w:val="24"/>
          <w:szCs w:val="24"/>
        </w:rPr>
        <w:t xml:space="preserve">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3.12. Уполномоченный орган уведомляет арендатора о намерении принять </w:t>
      </w:r>
      <w:proofErr w:type="gramStart"/>
      <w:r w:rsidRPr="00CC7C25">
        <w:rPr>
          <w:rFonts w:ascii="Arial" w:hAnsi="Arial" w:cs="Arial"/>
          <w:sz w:val="24"/>
          <w:szCs w:val="24"/>
        </w:rPr>
        <w:t>решение</w:t>
      </w:r>
      <w:proofErr w:type="gramEnd"/>
      <w:r w:rsidRPr="00CC7C25">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sz w:val="24"/>
          <w:szCs w:val="24"/>
        </w:rPr>
      </w:pPr>
      <w:r w:rsidRPr="00CC7C25">
        <w:rPr>
          <w:rFonts w:ascii="Arial" w:hAnsi="Arial" w:cs="Arial"/>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lastRenderedPageBreak/>
        <w:t xml:space="preserve">4.1.3. </w:t>
      </w:r>
      <w:proofErr w:type="gramStart"/>
      <w:r w:rsidRPr="00CC7C25">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C7C25">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523C6" w:rsidRDefault="00B523C6" w:rsidP="001D7E35">
      <w:pPr>
        <w:pStyle w:val="Standard"/>
        <w:jc w:val="right"/>
        <w:rPr>
          <w:rFonts w:ascii="Arial" w:hAnsi="Arial" w:cs="Arial"/>
          <w:lang w:val="ru-RU"/>
        </w:rPr>
        <w:sectPr w:rsidR="00B523C6" w:rsidSect="00B523C6">
          <w:headerReference w:type="first" r:id="rId12"/>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A661C7" w:rsidP="00A661C7">
      <w:pPr>
        <w:pStyle w:val="ConsPlusNormal"/>
        <w:jc w:val="both"/>
        <w:rPr>
          <w:sz w:val="24"/>
          <w:szCs w:val="24"/>
        </w:rPr>
      </w:pPr>
      <w:r>
        <w:rPr>
          <w:sz w:val="24"/>
          <w:szCs w:val="24"/>
        </w:rPr>
        <w:t xml:space="preserve">                                                                                                                         </w:t>
      </w:r>
      <w:r w:rsidR="00B523C6" w:rsidRPr="00BC47C3">
        <w:rPr>
          <w:sz w:val="24"/>
          <w:szCs w:val="24"/>
        </w:rPr>
        <w:t xml:space="preserve">Утверждена </w:t>
      </w:r>
    </w:p>
    <w:p w:rsidR="00B523C6" w:rsidRPr="00A661C7" w:rsidRDefault="00B523C6" w:rsidP="00A661C7">
      <w:pPr>
        <w:pStyle w:val="ConsPlusNormal"/>
        <w:ind w:left="8789" w:firstLine="0"/>
        <w:jc w:val="both"/>
        <w:rPr>
          <w:i/>
          <w:sz w:val="24"/>
          <w:szCs w:val="24"/>
        </w:rPr>
      </w:pPr>
      <w:r w:rsidRPr="00BC47C3">
        <w:rPr>
          <w:sz w:val="24"/>
          <w:szCs w:val="24"/>
        </w:rPr>
        <w:t>Постановлением Администрации</w:t>
      </w:r>
      <w:r>
        <w:rPr>
          <w:sz w:val="24"/>
          <w:szCs w:val="24"/>
        </w:rPr>
        <w:t xml:space="preserve"> </w:t>
      </w:r>
      <w:r w:rsidR="00A661C7">
        <w:rPr>
          <w:sz w:val="24"/>
          <w:szCs w:val="24"/>
        </w:rPr>
        <w:t xml:space="preserve">  </w:t>
      </w:r>
      <w:r w:rsidR="007A3594">
        <w:rPr>
          <w:sz w:val="24"/>
          <w:szCs w:val="24"/>
        </w:rPr>
        <w:t>Богатыревского</w:t>
      </w:r>
      <w:r w:rsidR="009D2F53">
        <w:rPr>
          <w:sz w:val="24"/>
          <w:szCs w:val="24"/>
        </w:rPr>
        <w:t xml:space="preserve"> </w:t>
      </w:r>
      <w:r>
        <w:rPr>
          <w:sz w:val="24"/>
          <w:szCs w:val="24"/>
        </w:rPr>
        <w:t xml:space="preserve"> сельсовета </w:t>
      </w:r>
      <w:r w:rsidRPr="00BC47C3">
        <w:rPr>
          <w:sz w:val="24"/>
          <w:szCs w:val="24"/>
        </w:rPr>
        <w:t xml:space="preserve"> Горшеченского района Курской области</w:t>
      </w:r>
      <w:r w:rsidR="00A661C7">
        <w:rPr>
          <w:i/>
          <w:sz w:val="24"/>
          <w:szCs w:val="24"/>
        </w:rPr>
        <w:t xml:space="preserve"> </w:t>
      </w:r>
      <w:r w:rsidR="00A846BD">
        <w:rPr>
          <w:sz w:val="24"/>
          <w:szCs w:val="24"/>
        </w:rPr>
        <w:t>от «08</w:t>
      </w:r>
      <w:r w:rsidRPr="00BC47C3">
        <w:rPr>
          <w:sz w:val="24"/>
          <w:szCs w:val="24"/>
        </w:rPr>
        <w:t>»</w:t>
      </w:r>
      <w:r>
        <w:rPr>
          <w:sz w:val="24"/>
          <w:szCs w:val="24"/>
        </w:rPr>
        <w:t xml:space="preserve"> июля</w:t>
      </w:r>
      <w:r w:rsidRPr="00BC47C3">
        <w:rPr>
          <w:sz w:val="24"/>
          <w:szCs w:val="24"/>
        </w:rPr>
        <w:t xml:space="preserve"> 201</w:t>
      </w:r>
      <w:r>
        <w:rPr>
          <w:sz w:val="24"/>
          <w:szCs w:val="24"/>
        </w:rPr>
        <w:t>9</w:t>
      </w:r>
      <w:r w:rsidR="00A846BD">
        <w:rPr>
          <w:sz w:val="24"/>
          <w:szCs w:val="24"/>
        </w:rPr>
        <w:t xml:space="preserve"> г. № 28</w:t>
      </w:r>
    </w:p>
    <w:p w:rsidR="00B523C6" w:rsidRPr="00BC47C3" w:rsidRDefault="00B523C6" w:rsidP="00B523C6">
      <w:pPr>
        <w:pStyle w:val="ConsPlusNormal"/>
        <w:ind w:left="2268"/>
        <w:jc w:val="both"/>
        <w:rPr>
          <w:sz w:val="24"/>
          <w:szCs w:val="24"/>
        </w:rPr>
      </w:pP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ПЕРЕЧНЯ МУНИЦИПАЛЬНОГО ИМУЩЕСТВА, МУНИЦИПАЛЬНОГО </w:t>
      </w:r>
      <w:r>
        <w:rPr>
          <w:rFonts w:ascii="Arial" w:hAnsi="Arial" w:cs="Arial"/>
          <w:sz w:val="24"/>
          <w:szCs w:val="24"/>
        </w:rPr>
        <w:t>ОБРАЗОВАНИЯ «</w:t>
      </w:r>
      <w:r w:rsidR="00F57160">
        <w:rPr>
          <w:rFonts w:ascii="Arial" w:hAnsi="Arial" w:cs="Arial"/>
          <w:sz w:val="24"/>
          <w:szCs w:val="24"/>
        </w:rPr>
        <w:t>БОГАТЫРЕВСКИЙ</w:t>
      </w:r>
      <w:r w:rsidR="009D2F53">
        <w:rPr>
          <w:rFonts w:ascii="Arial" w:hAnsi="Arial" w:cs="Arial"/>
          <w:sz w:val="24"/>
          <w:szCs w:val="24"/>
        </w:rPr>
        <w:t xml:space="preserve"> </w:t>
      </w:r>
      <w:r>
        <w:rPr>
          <w:rFonts w:ascii="Arial" w:hAnsi="Arial" w:cs="Arial"/>
          <w:sz w:val="24"/>
          <w:szCs w:val="24"/>
        </w:rPr>
        <w:t xml:space="preserve">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xml:space="preserve">№ </w:t>
            </w:r>
            <w:proofErr w:type="gramStart"/>
            <w:r w:rsidRPr="00BC47C3">
              <w:rPr>
                <w:sz w:val="24"/>
                <w:szCs w:val="24"/>
              </w:rPr>
              <w:t>п</w:t>
            </w:r>
            <w:proofErr w:type="gramEnd"/>
            <w:r w:rsidRPr="00BC47C3">
              <w:rPr>
                <w:sz w:val="24"/>
                <w:szCs w:val="24"/>
              </w:rPr>
              <w:t>/п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proofErr w:type="gramStart"/>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B523C6" w:rsidRPr="00BC47C3" w:rsidRDefault="00B523C6" w:rsidP="004B796B">
            <w:pPr>
              <w:pStyle w:val="ConsPlusNormal"/>
              <w:jc w:val="both"/>
              <w:rPr>
                <w:sz w:val="24"/>
                <w:szCs w:val="24"/>
              </w:rPr>
            </w:pPr>
            <w:r w:rsidRPr="00BC47C3">
              <w:rPr>
                <w:sz w:val="24"/>
                <w:szCs w:val="24"/>
              </w:rPr>
              <w:t xml:space="preserve">Фактическое </w:t>
            </w:r>
            <w:proofErr w:type="gramStart"/>
            <w:r w:rsidRPr="00BC47C3">
              <w:rPr>
                <w:sz w:val="24"/>
                <w:szCs w:val="24"/>
              </w:rPr>
              <w:t>значение</w:t>
            </w:r>
            <w:proofErr w:type="gramEnd"/>
            <w:r w:rsidRPr="00BC47C3">
              <w:rPr>
                <w:sz w:val="24"/>
                <w:szCs w:val="24"/>
              </w:rPr>
              <w:t>/Проектируемое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proofErr w:type="gramStart"/>
            <w:r w:rsidRPr="00BC47C3">
              <w:rPr>
                <w:sz w:val="24"/>
                <w:szCs w:val="24"/>
              </w:rPr>
              <w:t>Единица измерения (для площади - кв. м; для протяженности - м; для глубины залегания - м; для объема - куб. м)</w:t>
            </w:r>
            <w:proofErr w:type="gramEnd"/>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4B796B">
            <w:pPr>
              <w:pStyle w:val="ConsPlusNormal"/>
              <w:jc w:val="both"/>
              <w:rPr>
                <w:sz w:val="24"/>
                <w:szCs w:val="24"/>
              </w:rPr>
            </w:pPr>
            <w:r w:rsidRPr="00BC47C3">
              <w:rPr>
                <w:sz w:val="24"/>
                <w:szCs w:val="24"/>
              </w:rPr>
              <w:lastRenderedPageBreak/>
              <w:t>Кадастровый номер &lt;5&gt;</w:t>
            </w:r>
          </w:p>
        </w:tc>
        <w:tc>
          <w:tcPr>
            <w:tcW w:w="2126" w:type="dxa"/>
            <w:vMerge w:val="restart"/>
          </w:tcPr>
          <w:p w:rsidR="00B523C6" w:rsidRPr="00BC47C3" w:rsidRDefault="00B523C6" w:rsidP="004B796B">
            <w:pPr>
              <w:pStyle w:val="ConsPlusNormal"/>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4B796B">
            <w:pPr>
              <w:pStyle w:val="ConsPlusNormal"/>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Состав (</w:t>
            </w:r>
            <w:proofErr w:type="spellStart"/>
            <w:proofErr w:type="gramStart"/>
            <w:r w:rsidRPr="00BC47C3">
              <w:rPr>
                <w:sz w:val="24"/>
                <w:szCs w:val="24"/>
              </w:rPr>
              <w:t>принадлежнос-ти</w:t>
            </w:r>
            <w:proofErr w:type="spellEnd"/>
            <w:proofErr w:type="gramEnd"/>
            <w:r w:rsidRPr="00BC47C3">
              <w:rPr>
                <w:sz w:val="24"/>
                <w:szCs w:val="24"/>
              </w:rPr>
              <w:t xml:space="preserve">)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4B796B">
            <w:pPr>
              <w:pStyle w:val="ConsPlusNormal"/>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firstRow="1" w:lastRow="0" w:firstColumn="1" w:lastColumn="0" w:noHBand="0" w:noVBand="1"/>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4B796B">
            <w:pPr>
              <w:pStyle w:val="ConsPlusNormal"/>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4B796B">
            <w:pPr>
              <w:pStyle w:val="ConsPlusNormal"/>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4B796B">
            <w:pPr>
              <w:pStyle w:val="ConsPlusNormal"/>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4B796B">
            <w:pPr>
              <w:pStyle w:val="ConsPlusNormal"/>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4B796B">
            <w:pPr>
              <w:pStyle w:val="ConsPlusNormal"/>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4B796B">
            <w:pPr>
              <w:pStyle w:val="ConsPlusNormal"/>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4B796B">
            <w:pPr>
              <w:pStyle w:val="ConsPlusNormal"/>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E654D3">
          <w:pgSz w:w="16838" w:h="11905" w:orient="landscape"/>
          <w:pgMar w:top="170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3" w:name="P204"/>
      <w:bookmarkEnd w:id="3"/>
      <w:r w:rsidRPr="00BC47C3">
        <w:rPr>
          <w:sz w:val="24"/>
          <w:szCs w:val="24"/>
        </w:rPr>
        <w:t>&lt;1</w:t>
      </w:r>
      <w:proofErr w:type="gramStart"/>
      <w:r w:rsidRPr="00BC47C3">
        <w:rPr>
          <w:sz w:val="24"/>
          <w:szCs w:val="24"/>
        </w:rPr>
        <w:t xml:space="preserve">&gt; </w:t>
      </w:r>
      <w:bookmarkStart w:id="4" w:name="P205"/>
      <w:bookmarkEnd w:id="4"/>
      <w:r w:rsidRPr="00BC47C3">
        <w:rPr>
          <w:sz w:val="24"/>
          <w:szCs w:val="24"/>
        </w:rPr>
        <w:t>У</w:t>
      </w:r>
      <w:proofErr w:type="gramEnd"/>
      <w:r w:rsidRPr="00BC47C3">
        <w:rPr>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w:t>
      </w:r>
      <w:proofErr w:type="gramStart"/>
      <w:r w:rsidRPr="00BC47C3">
        <w:rPr>
          <w:sz w:val="24"/>
          <w:szCs w:val="24"/>
        </w:rPr>
        <w:t>&gt; Д</w:t>
      </w:r>
      <w:proofErr w:type="gramEnd"/>
      <w:r w:rsidRPr="00BC47C3">
        <w:rPr>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5" w:name="P206"/>
      <w:bookmarkEnd w:id="5"/>
      <w:r w:rsidRPr="00BC47C3">
        <w:rPr>
          <w:sz w:val="24"/>
          <w:szCs w:val="24"/>
        </w:rPr>
        <w:t>&lt;3</w:t>
      </w:r>
      <w:proofErr w:type="gramStart"/>
      <w:r w:rsidRPr="00BC47C3">
        <w:rPr>
          <w:sz w:val="24"/>
          <w:szCs w:val="24"/>
        </w:rPr>
        <w:t>&gt; У</w:t>
      </w:r>
      <w:proofErr w:type="gramEnd"/>
      <w:r w:rsidRPr="00BC47C3">
        <w:rPr>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6" w:name="P207"/>
      <w:bookmarkEnd w:id="6"/>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w:t>
      </w:r>
      <w:proofErr w:type="gramStart"/>
      <w:r w:rsidRPr="00BC47C3">
        <w:rPr>
          <w:sz w:val="24"/>
          <w:szCs w:val="24"/>
        </w:rPr>
        <w:t>&gt; У</w:t>
      </w:r>
      <w:proofErr w:type="gramEnd"/>
      <w:r w:rsidRPr="00BC47C3">
        <w:rPr>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w:t>
      </w:r>
      <w:proofErr w:type="gramStart"/>
      <w:r w:rsidRPr="00BC47C3">
        <w:rPr>
          <w:sz w:val="24"/>
          <w:szCs w:val="24"/>
        </w:rPr>
        <w:t>&gt; Н</w:t>
      </w:r>
      <w:proofErr w:type="gramEnd"/>
      <w:r w:rsidRPr="00BC47C3">
        <w:rPr>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C47C3">
        <w:rPr>
          <w:sz w:val="24"/>
          <w:szCs w:val="24"/>
        </w:rPr>
        <w:t>,</w:t>
      </w:r>
      <w:proofErr w:type="gramEnd"/>
      <w:r w:rsidRPr="00BC47C3">
        <w:rPr>
          <w:sz w:val="24"/>
          <w:szCs w:val="24"/>
        </w:rPr>
        <w:t xml:space="preserve">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w:t>
      </w:r>
      <w:proofErr w:type="gramStart"/>
      <w:r w:rsidRPr="00BC47C3">
        <w:rPr>
          <w:sz w:val="24"/>
          <w:szCs w:val="24"/>
        </w:rPr>
        <w:t>&gt; Д</w:t>
      </w:r>
      <w:proofErr w:type="gramEnd"/>
      <w:r w:rsidRPr="00BC47C3">
        <w:rPr>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w:t>
      </w:r>
      <w:proofErr w:type="gramStart"/>
      <w:r w:rsidRPr="00BC47C3">
        <w:rPr>
          <w:sz w:val="24"/>
          <w:szCs w:val="24"/>
        </w:rPr>
        <w:t>&gt; У</w:t>
      </w:r>
      <w:proofErr w:type="gramEnd"/>
      <w:r w:rsidRPr="00BC47C3">
        <w:rPr>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w:t>
      </w:r>
      <w:proofErr w:type="gramStart"/>
      <w:r w:rsidRPr="00BC47C3">
        <w:rPr>
          <w:sz w:val="24"/>
          <w:szCs w:val="24"/>
        </w:rPr>
        <w:t>&gt; У</w:t>
      </w:r>
      <w:proofErr w:type="gramEnd"/>
      <w:r w:rsidRPr="00BC47C3">
        <w:rPr>
          <w:sz w:val="24"/>
          <w:szCs w:val="24"/>
        </w:rPr>
        <w:t>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&lt;11</w:t>
      </w:r>
      <w:proofErr w:type="gramStart"/>
      <w:r w:rsidRPr="00BC47C3">
        <w:rPr>
          <w:sz w:val="24"/>
          <w:szCs w:val="24"/>
        </w:rPr>
        <w:t>&gt; Д</w:t>
      </w:r>
      <w:proofErr w:type="gramEnd"/>
      <w:r w:rsidRPr="00BC47C3">
        <w:rPr>
          <w:sz w:val="24"/>
          <w:szCs w:val="24"/>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w:t>
      </w:r>
      <w:proofErr w:type="gramStart"/>
      <w:r w:rsidRPr="00BC47C3">
        <w:rPr>
          <w:sz w:val="24"/>
          <w:szCs w:val="24"/>
        </w:rPr>
        <w:t>&gt; Д</w:t>
      </w:r>
      <w:proofErr w:type="gramEnd"/>
      <w:r w:rsidRPr="00BC47C3">
        <w:rPr>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&lt;14&gt;, &lt;15</w:t>
      </w:r>
      <w:proofErr w:type="gramStart"/>
      <w:r w:rsidRPr="00BC47C3">
        <w:rPr>
          <w:sz w:val="24"/>
          <w:szCs w:val="24"/>
        </w:rPr>
        <w:t>&gt; У</w:t>
      </w:r>
      <w:proofErr w:type="gramEnd"/>
      <w:r w:rsidRPr="00BC47C3">
        <w:rPr>
          <w:sz w:val="24"/>
          <w:szCs w:val="24"/>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proofErr w:type="gramStart"/>
      <w:r w:rsidRPr="009A7A14">
        <w:rPr>
          <w:rFonts w:ascii="Arial" w:hAnsi="Arial" w:cs="Arial"/>
          <w:sz w:val="24"/>
          <w:szCs w:val="24"/>
          <w:lang w:eastAsia="ru-RU"/>
        </w:rPr>
        <w:t>Утверждены</w:t>
      </w:r>
      <w:proofErr w:type="gramEnd"/>
      <w:r w:rsidRPr="009A7A14">
        <w:rPr>
          <w:rFonts w:ascii="Arial" w:hAnsi="Arial" w:cs="Arial"/>
          <w:sz w:val="24"/>
          <w:szCs w:val="24"/>
          <w:lang w:eastAsia="ru-RU"/>
        </w:rPr>
        <w:t xml:space="preserve">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7A3594">
        <w:rPr>
          <w:rFonts w:ascii="Arial" w:hAnsi="Arial" w:cs="Arial"/>
          <w:sz w:val="24"/>
          <w:szCs w:val="24"/>
          <w:lang w:eastAsia="ru-RU"/>
        </w:rPr>
        <w:t>Богатыревского</w:t>
      </w:r>
      <w:r w:rsidR="009D2F53">
        <w:rPr>
          <w:rFonts w:ascii="Arial" w:hAnsi="Arial" w:cs="Arial"/>
          <w:sz w:val="24"/>
          <w:szCs w:val="24"/>
          <w:lang w:eastAsia="ru-RU"/>
        </w:rPr>
        <w:t xml:space="preserve"> </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A661C7" w:rsidRDefault="00A661C7" w:rsidP="00B523C6">
      <w:pPr>
        <w:pStyle w:val="ConsPlusNormal"/>
        <w:ind w:firstLine="709"/>
        <w:jc w:val="center"/>
        <w:rPr>
          <w:rFonts w:eastAsiaTheme="minorHAnsi"/>
          <w:sz w:val="24"/>
          <w:szCs w:val="24"/>
        </w:rPr>
      </w:pPr>
      <w:r>
        <w:rPr>
          <w:rFonts w:eastAsiaTheme="minorHAnsi"/>
          <w:sz w:val="24"/>
          <w:szCs w:val="24"/>
        </w:rPr>
        <w:t xml:space="preserve">                                      </w:t>
      </w:r>
      <w:r w:rsidR="00A846BD">
        <w:rPr>
          <w:rFonts w:eastAsiaTheme="minorHAnsi"/>
          <w:sz w:val="24"/>
          <w:szCs w:val="24"/>
        </w:rPr>
        <w:t>от «08» июля 2019 г. № 28</w:t>
      </w:r>
      <w:bookmarkStart w:id="7" w:name="_GoBack"/>
      <w:bookmarkEnd w:id="7"/>
    </w:p>
    <w:p w:rsidR="00A661C7" w:rsidRDefault="00A661C7" w:rsidP="00B523C6">
      <w:pPr>
        <w:pStyle w:val="ConsPlusNormal"/>
        <w:ind w:firstLine="709"/>
        <w:jc w:val="center"/>
        <w:rPr>
          <w:rFonts w:eastAsiaTheme="minorHAnsi"/>
          <w:sz w:val="24"/>
          <w:szCs w:val="24"/>
        </w:rPr>
      </w:pPr>
    </w:p>
    <w:p w:rsidR="00B523C6" w:rsidRPr="009A7A14"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F57160">
        <w:rPr>
          <w:b/>
          <w:sz w:val="24"/>
          <w:szCs w:val="24"/>
        </w:rPr>
        <w:t>БОГАТЫРЕВСКИЙ</w:t>
      </w:r>
      <w:r w:rsidR="009D2F53">
        <w:rPr>
          <w:b/>
          <w:sz w:val="24"/>
          <w:szCs w:val="24"/>
        </w:rPr>
        <w:t xml:space="preserve"> </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spacing w:line="348" w:lineRule="auto"/>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523C6" w:rsidRPr="009A7A14" w:rsidRDefault="00B523C6" w:rsidP="00B523C6">
      <w:pPr>
        <w:pStyle w:val="ConsPlusNormal"/>
        <w:spacing w:line="348" w:lineRule="auto"/>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523C6" w:rsidRPr="009A7A14" w:rsidRDefault="00B523C6" w:rsidP="00B523C6">
      <w:pPr>
        <w:pStyle w:val="ConsPlusNormal"/>
        <w:spacing w:line="348" w:lineRule="auto"/>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523C6" w:rsidRPr="009A7A14" w:rsidRDefault="00B523C6" w:rsidP="00B523C6">
      <w:pPr>
        <w:pStyle w:val="ConsPlusNormal"/>
        <w:spacing w:line="348" w:lineRule="auto"/>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9A7A14">
        <w:rPr>
          <w:sz w:val="24"/>
          <w:szCs w:val="24"/>
        </w:rPr>
        <w:t>полномочия</w:t>
      </w:r>
      <w:proofErr w:type="gramEnd"/>
      <w:r w:rsidRPr="009A7A14">
        <w:rPr>
          <w:sz w:val="24"/>
          <w:szCs w:val="24"/>
        </w:rPr>
        <w:t xml:space="preserve">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соответствии с настоящим постановлением;</w:t>
      </w:r>
    </w:p>
    <w:p w:rsidR="00B523C6" w:rsidRPr="009A7A14" w:rsidRDefault="00B523C6" w:rsidP="00B523C6">
      <w:pPr>
        <w:pStyle w:val="ConsPlusNormal"/>
        <w:spacing w:line="348" w:lineRule="auto"/>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7B" w:rsidRDefault="0073467B" w:rsidP="00B523C6">
      <w:pPr>
        <w:spacing w:after="0" w:line="240" w:lineRule="auto"/>
      </w:pPr>
      <w:r>
        <w:separator/>
      </w:r>
    </w:p>
  </w:endnote>
  <w:endnote w:type="continuationSeparator" w:id="0">
    <w:p w:rsidR="0073467B" w:rsidRDefault="0073467B" w:rsidP="00B5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7B" w:rsidRDefault="0073467B" w:rsidP="00B523C6">
      <w:pPr>
        <w:spacing w:after="0" w:line="240" w:lineRule="auto"/>
      </w:pPr>
      <w:r>
        <w:separator/>
      </w:r>
    </w:p>
  </w:footnote>
  <w:footnote w:type="continuationSeparator" w:id="0">
    <w:p w:rsidR="0073467B" w:rsidRDefault="0073467B" w:rsidP="00B5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3904"/>
      <w:docPartObj>
        <w:docPartGallery w:val="Page Numbers (Top of Page)"/>
        <w:docPartUnique/>
      </w:docPartObj>
    </w:sdtPr>
    <w:sdtEndPr/>
    <w:sdtContent>
      <w:p w:rsidR="00B523C6" w:rsidRDefault="0073467B">
        <w:pPr>
          <w:pStyle w:val="a6"/>
          <w:jc w:val="center"/>
        </w:pPr>
      </w:p>
    </w:sdtContent>
  </w:sdt>
  <w:p w:rsidR="00B523C6" w:rsidRDefault="00B523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727"/>
    <w:rsid w:val="00001BE7"/>
    <w:rsid w:val="00026E79"/>
    <w:rsid w:val="000664C5"/>
    <w:rsid w:val="00081C1B"/>
    <w:rsid w:val="00084618"/>
    <w:rsid w:val="000866CE"/>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40B88"/>
    <w:rsid w:val="00251043"/>
    <w:rsid w:val="002D6B8F"/>
    <w:rsid w:val="002E2188"/>
    <w:rsid w:val="00323641"/>
    <w:rsid w:val="00334E42"/>
    <w:rsid w:val="00340418"/>
    <w:rsid w:val="003865A7"/>
    <w:rsid w:val="00394DE2"/>
    <w:rsid w:val="003A1915"/>
    <w:rsid w:val="003B23E5"/>
    <w:rsid w:val="003C1408"/>
    <w:rsid w:val="00425B2A"/>
    <w:rsid w:val="00435D8A"/>
    <w:rsid w:val="00486F6F"/>
    <w:rsid w:val="00490816"/>
    <w:rsid w:val="004972E1"/>
    <w:rsid w:val="004C5F44"/>
    <w:rsid w:val="004E2A9B"/>
    <w:rsid w:val="004E5307"/>
    <w:rsid w:val="004E5C00"/>
    <w:rsid w:val="004F318A"/>
    <w:rsid w:val="005126BB"/>
    <w:rsid w:val="0051516D"/>
    <w:rsid w:val="00521B99"/>
    <w:rsid w:val="0053186C"/>
    <w:rsid w:val="00556EA8"/>
    <w:rsid w:val="005771B1"/>
    <w:rsid w:val="00583BCD"/>
    <w:rsid w:val="006077E7"/>
    <w:rsid w:val="00627154"/>
    <w:rsid w:val="00632B52"/>
    <w:rsid w:val="00632C3B"/>
    <w:rsid w:val="006476B4"/>
    <w:rsid w:val="0067438A"/>
    <w:rsid w:val="00675BB3"/>
    <w:rsid w:val="00683647"/>
    <w:rsid w:val="006A2AD5"/>
    <w:rsid w:val="007146D7"/>
    <w:rsid w:val="0073467B"/>
    <w:rsid w:val="00746C22"/>
    <w:rsid w:val="007816E1"/>
    <w:rsid w:val="007A3594"/>
    <w:rsid w:val="007B1B35"/>
    <w:rsid w:val="007B2DD6"/>
    <w:rsid w:val="00864B57"/>
    <w:rsid w:val="00872BDC"/>
    <w:rsid w:val="008A13AC"/>
    <w:rsid w:val="008B632C"/>
    <w:rsid w:val="008C31F8"/>
    <w:rsid w:val="008F3145"/>
    <w:rsid w:val="009211A7"/>
    <w:rsid w:val="00954E8F"/>
    <w:rsid w:val="0096016B"/>
    <w:rsid w:val="009704EB"/>
    <w:rsid w:val="00971C8F"/>
    <w:rsid w:val="0098090B"/>
    <w:rsid w:val="009857BE"/>
    <w:rsid w:val="009D2F53"/>
    <w:rsid w:val="009F5C28"/>
    <w:rsid w:val="00A20197"/>
    <w:rsid w:val="00A237E4"/>
    <w:rsid w:val="00A62E17"/>
    <w:rsid w:val="00A661C7"/>
    <w:rsid w:val="00A76D1E"/>
    <w:rsid w:val="00A846BD"/>
    <w:rsid w:val="00A91C05"/>
    <w:rsid w:val="00AA5277"/>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366BA"/>
    <w:rsid w:val="00D55727"/>
    <w:rsid w:val="00E16521"/>
    <w:rsid w:val="00E274CA"/>
    <w:rsid w:val="00E32443"/>
    <w:rsid w:val="00E573AF"/>
    <w:rsid w:val="00E73E33"/>
    <w:rsid w:val="00EA4D58"/>
    <w:rsid w:val="00EA7AA0"/>
    <w:rsid w:val="00EC64CC"/>
    <w:rsid w:val="00F57160"/>
    <w:rsid w:val="00FD2BD5"/>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69375-6B6C-48C0-B3C6-D7C22B94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14</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bogatirevo</cp:lastModifiedBy>
  <cp:revision>70</cp:revision>
  <cp:lastPrinted>2019-07-10T13:41:00Z</cp:lastPrinted>
  <dcterms:created xsi:type="dcterms:W3CDTF">2018-07-13T07:08:00Z</dcterms:created>
  <dcterms:modified xsi:type="dcterms:W3CDTF">2019-07-10T14:02:00Z</dcterms:modified>
</cp:coreProperties>
</file>