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F" w:rsidRDefault="0012423F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ПРОЕКТ</w:t>
      </w:r>
    </w:p>
    <w:p w:rsidR="00260A82" w:rsidRPr="00E77B99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="00247F40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БОГАТЫРЕВСКОГО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от</w:t>
      </w:r>
      <w:r w:rsidR="00C85849">
        <w:rPr>
          <w:rFonts w:ascii="Arial" w:hAnsi="Arial" w:cs="Arial"/>
          <w:b/>
          <w:spacing w:val="2"/>
          <w:sz w:val="32"/>
          <w:szCs w:val="32"/>
        </w:rPr>
        <w:t>______________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</w:t>
      </w:r>
      <w:proofErr w:type="gramStart"/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proofErr w:type="gramEnd"/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ведомственном контроле за соблюдением</w:t>
      </w:r>
      <w:proofErr w:type="gramEnd"/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</w:t>
      </w:r>
      <w:proofErr w:type="gramStart"/>
      <w:r w:rsidR="00543EA5" w:rsidRPr="00543EA5">
        <w:rPr>
          <w:rFonts w:ascii="Arial" w:hAnsi="Arial" w:cs="Arial"/>
          <w:spacing w:val="2"/>
          <w:sz w:val="24"/>
          <w:szCs w:val="24"/>
        </w:rPr>
        <w:t>контроле за</w:t>
      </w:r>
      <w:proofErr w:type="gramEnd"/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spacing w:val="2"/>
          <w:sz w:val="24"/>
          <w:szCs w:val="24"/>
        </w:rPr>
        <w:t>Богатыревского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247F40">
        <w:rPr>
          <w:rFonts w:ascii="Arial" w:hAnsi="Arial" w:cs="Arial"/>
          <w:spacing w:val="2"/>
          <w:sz w:val="24"/>
          <w:szCs w:val="24"/>
        </w:rPr>
        <w:t>Богатыревского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260A82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дня подписания и подлежит размещению на официальном сайте Администрации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47F40" w:rsidRPr="00E167EF" w:rsidRDefault="00247F40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47F40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Т.А.Звягинцева</w:t>
      </w:r>
      <w:bookmarkStart w:id="0" w:name="_GoBack"/>
      <w:bookmarkEnd w:id="0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</w:t>
      </w:r>
      <w:r w:rsidR="00247F4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247F40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 w:rsidR="00C85849">
        <w:rPr>
          <w:rFonts w:ascii="Arial" w:hAnsi="Arial" w:cs="Arial"/>
          <w:spacing w:val="2"/>
          <w:sz w:val="28"/>
          <w:szCs w:val="28"/>
        </w:rPr>
        <w:t>_____________</w:t>
      </w:r>
      <w:r w:rsidR="00313637">
        <w:rPr>
          <w:rFonts w:ascii="Arial" w:hAnsi="Arial" w:cs="Arial"/>
          <w:spacing w:val="2"/>
          <w:sz w:val="28"/>
          <w:szCs w:val="28"/>
        </w:rPr>
        <w:t xml:space="preserve"> </w:t>
      </w:r>
      <w:r w:rsidR="00BF3C69" w:rsidRPr="00260A82">
        <w:rPr>
          <w:rFonts w:ascii="Arial" w:hAnsi="Arial" w:cs="Arial"/>
          <w:spacing w:val="2"/>
          <w:sz w:val="28"/>
          <w:szCs w:val="28"/>
        </w:rPr>
        <w:t xml:space="preserve">2020 г.  № </w:t>
      </w:r>
      <w:r w:rsidR="00C85849">
        <w:rPr>
          <w:rFonts w:ascii="Arial" w:hAnsi="Arial" w:cs="Arial"/>
          <w:spacing w:val="2"/>
          <w:sz w:val="28"/>
          <w:szCs w:val="28"/>
        </w:rPr>
        <w:t>_____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</w:t>
      </w:r>
      <w:proofErr w:type="gramStart"/>
      <w:r w:rsidRPr="00260A82">
        <w:rPr>
          <w:rFonts w:ascii="Arial" w:hAnsi="Arial" w:cs="Arial"/>
          <w:b/>
          <w:spacing w:val="2"/>
          <w:sz w:val="28"/>
          <w:szCs w:val="28"/>
        </w:rPr>
        <w:t>контроле за</w:t>
      </w:r>
      <w:proofErr w:type="gram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b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</w:t>
      </w:r>
      <w:proofErr w:type="gramEnd"/>
      <w:r w:rsidRPr="00260A82">
        <w:rPr>
          <w:rFonts w:ascii="Arial" w:hAnsi="Arial" w:cs="Arial"/>
          <w:sz w:val="28"/>
          <w:szCs w:val="28"/>
        </w:rPr>
        <w:t xml:space="preserve"> и иных нормативных правовых актов, содержащих нормы трудового права» (</w:t>
      </w:r>
      <w:proofErr w:type="gramStart"/>
      <w:r w:rsidRPr="00260A82">
        <w:rPr>
          <w:rFonts w:ascii="Arial" w:hAnsi="Arial" w:cs="Arial"/>
          <w:sz w:val="28"/>
          <w:szCs w:val="28"/>
        </w:rPr>
        <w:t>принят</w:t>
      </w:r>
      <w:proofErr w:type="gramEnd"/>
      <w:r w:rsidRPr="00260A82">
        <w:rPr>
          <w:rFonts w:ascii="Arial" w:hAnsi="Arial" w:cs="Arial"/>
          <w:sz w:val="28"/>
          <w:szCs w:val="28"/>
        </w:rPr>
        <w:t xml:space="preserve">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контроля за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Администрацией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2.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br/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2) подведомственные муниципальные организации - муниципальные учреждения и предприятия, учредителем которых является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Администрация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proofErr w:type="gramStart"/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Pr="00260A82">
        <w:rPr>
          <w:rFonts w:ascii="Arial" w:hAnsi="Arial" w:cs="Arial"/>
          <w:spacing w:val="2"/>
          <w:sz w:val="28"/>
          <w:szCs w:val="28"/>
        </w:rPr>
        <w:t>,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контроль за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1.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Предметом проверки является соблюдение подведомственной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 xml:space="preserve">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proofErr w:type="gramEnd"/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proofErr w:type="spellStart"/>
      <w:r w:rsidR="00AA260E" w:rsidRPr="00260A82">
        <w:rPr>
          <w:rFonts w:ascii="Arial" w:hAnsi="Arial" w:cs="Arial"/>
          <w:spacing w:val="2"/>
          <w:sz w:val="28"/>
          <w:szCs w:val="28"/>
        </w:rPr>
        <w:t>Нижнеборковский</w:t>
      </w:r>
      <w:proofErr w:type="spellEnd"/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сельсовет»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позднее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proofErr w:type="gramEnd"/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247F40">
        <w:rPr>
          <w:rFonts w:ascii="Arial" w:hAnsi="Arial" w:cs="Arial"/>
          <w:spacing w:val="2"/>
          <w:sz w:val="28"/>
          <w:szCs w:val="28"/>
        </w:rPr>
        <w:lastRenderedPageBreak/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>т решение о 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Акт проверки в течение пяти рабочих дней после ее завершения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в течение пяти рабочих дней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с даты получения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 xml:space="preserve">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247F40">
        <w:rPr>
          <w:rFonts w:ascii="Arial" w:hAnsi="Arial" w:cs="Arial"/>
          <w:spacing w:val="2"/>
          <w:sz w:val="28"/>
          <w:szCs w:val="28"/>
        </w:rPr>
        <w:t>Богатыревского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о 01 марта года, следующего за </w:t>
      </w:r>
      <w:proofErr w:type="gramStart"/>
      <w:r w:rsidRPr="00260A82">
        <w:rPr>
          <w:rFonts w:ascii="Arial" w:hAnsi="Arial" w:cs="Arial"/>
          <w:spacing w:val="2"/>
          <w:sz w:val="28"/>
          <w:szCs w:val="28"/>
        </w:rPr>
        <w:t>отчетным</w:t>
      </w:r>
      <w:proofErr w:type="gramEnd"/>
      <w:r w:rsidRPr="00260A82">
        <w:rPr>
          <w:rFonts w:ascii="Arial" w:hAnsi="Arial" w:cs="Arial"/>
          <w:spacing w:val="2"/>
          <w:sz w:val="28"/>
          <w:szCs w:val="28"/>
        </w:rPr>
        <w:t>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260A82">
        <w:rPr>
          <w:rFonts w:ascii="Arial" w:hAnsi="Arial" w:cs="Arial"/>
          <w:spacing w:val="2"/>
          <w:sz w:val="28"/>
          <w:szCs w:val="28"/>
        </w:rPr>
        <w:t>Горшеченский</w:t>
      </w:r>
      <w:proofErr w:type="spellEnd"/>
      <w:r w:rsidRPr="00260A82">
        <w:rPr>
          <w:rFonts w:ascii="Arial" w:hAnsi="Arial" w:cs="Arial"/>
          <w:spacing w:val="2"/>
          <w:sz w:val="28"/>
          <w:szCs w:val="28"/>
        </w:rPr>
        <w:t xml:space="preserve"> район»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247F40">
        <w:rPr>
          <w:rFonts w:ascii="Arial" w:hAnsi="Arial" w:cs="Arial"/>
          <w:b/>
          <w:bCs/>
          <w:spacing w:val="2"/>
        </w:rPr>
        <w:t>Богатыревского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от</w:t>
      </w:r>
      <w:proofErr w:type="gramEnd"/>
      <w:r w:rsidRPr="00260A82">
        <w:rPr>
          <w:rFonts w:ascii="Arial" w:hAnsi="Arial" w:cs="Arial"/>
          <w:spacing w:val="2"/>
        </w:rPr>
        <w:t xml:space="preserve"> ______________ № _______</w:t>
      </w:r>
      <w:r w:rsidRPr="00260A82">
        <w:rPr>
          <w:rFonts w:ascii="Arial" w:hAnsi="Arial" w:cs="Arial"/>
          <w:spacing w:val="2"/>
        </w:rPr>
        <w:br/>
      </w:r>
      <w:proofErr w:type="gramStart"/>
      <w:r w:rsidRPr="00260A82">
        <w:rPr>
          <w:rFonts w:ascii="Arial" w:hAnsi="Arial" w:cs="Arial"/>
          <w:spacing w:val="2"/>
        </w:rPr>
        <w:t>о</w:t>
      </w:r>
      <w:proofErr w:type="gramEnd"/>
      <w:r w:rsidRPr="00260A82">
        <w:rPr>
          <w:rFonts w:ascii="Arial" w:hAnsi="Arial" w:cs="Arial"/>
          <w:spacing w:val="2"/>
        </w:rPr>
        <w:t xml:space="preserve">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</w:t>
      </w:r>
      <w:proofErr w:type="gramStart"/>
      <w:r w:rsidRPr="00260A82">
        <w:rPr>
          <w:rFonts w:ascii="Arial" w:hAnsi="Arial" w:cs="Arial"/>
          <w:spacing w:val="2"/>
        </w:rPr>
        <w:t>м(</w:t>
      </w:r>
      <w:proofErr w:type="gramEnd"/>
      <w:r w:rsidRPr="00260A82">
        <w:rPr>
          <w:rFonts w:ascii="Arial" w:hAnsi="Arial" w:cs="Arial"/>
          <w:spacing w:val="2"/>
        </w:rPr>
        <w:t>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</w:t>
      </w:r>
      <w:proofErr w:type="spellStart"/>
      <w:r w:rsidRPr="00260A82">
        <w:rPr>
          <w:rFonts w:ascii="Arial" w:hAnsi="Arial" w:cs="Arial"/>
          <w:spacing w:val="2"/>
        </w:rPr>
        <w:t>ых</w:t>
      </w:r>
      <w:proofErr w:type="spellEnd"/>
      <w:r w:rsidRPr="00260A82">
        <w:rPr>
          <w:rFonts w:ascii="Arial" w:hAnsi="Arial" w:cs="Arial"/>
          <w:spacing w:val="2"/>
        </w:rPr>
        <w:t>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</w:t>
      </w:r>
      <w:proofErr w:type="gramStart"/>
      <w:r w:rsidRPr="00260A82">
        <w:rPr>
          <w:rFonts w:ascii="Arial" w:hAnsi="Arial" w:cs="Arial"/>
          <w:spacing w:val="2"/>
        </w:rPr>
        <w:t>&gt; П</w:t>
      </w:r>
      <w:proofErr w:type="gramEnd"/>
      <w:r w:rsidRPr="00260A82">
        <w:rPr>
          <w:rFonts w:ascii="Arial" w:hAnsi="Arial" w:cs="Arial"/>
          <w:spacing w:val="2"/>
        </w:rPr>
        <w:t>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247F40">
        <w:rPr>
          <w:rFonts w:ascii="Arial" w:hAnsi="Arial" w:cs="Arial"/>
          <w:b/>
          <w:bCs/>
          <w:spacing w:val="2"/>
        </w:rPr>
        <w:t>Богатыревского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 xml:space="preserve">N </w:t>
            </w:r>
            <w:proofErr w:type="gramStart"/>
            <w:r w:rsidRPr="00260A82">
              <w:rPr>
                <w:rFonts w:ascii="Arial" w:hAnsi="Arial" w:cs="Arial"/>
              </w:rPr>
              <w:t>п</w:t>
            </w:r>
            <w:proofErr w:type="gramEnd"/>
            <w:r w:rsidRPr="00260A82">
              <w:rPr>
                <w:rFonts w:ascii="Arial" w:hAnsi="Arial" w:cs="Arial"/>
              </w:rPr>
              <w:t>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proofErr w:type="gramStart"/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</w:t>
      </w:r>
      <w:proofErr w:type="gramEnd"/>
      <w:r w:rsidR="00260A82" w:rsidRPr="00260A82">
        <w:rPr>
          <w:rFonts w:ascii="Arial" w:hAnsi="Arial" w:cs="Arial"/>
          <w:spacing w:val="2"/>
        </w:rPr>
        <w:t>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247F40">
        <w:rPr>
          <w:rFonts w:ascii="Arial" w:hAnsi="Arial" w:cs="Arial"/>
          <w:spacing w:val="2"/>
        </w:rPr>
        <w:t>Богатыревского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</w:t>
      </w:r>
      <w:proofErr w:type="gramStart"/>
      <w:r w:rsidRPr="00260A82">
        <w:rPr>
          <w:rFonts w:ascii="Arial" w:hAnsi="Arial" w:cs="Arial"/>
          <w:spacing w:val="2"/>
        </w:rPr>
        <w:t>.</w:t>
      </w:r>
      <w:proofErr w:type="gramEnd"/>
      <w:r w:rsidRPr="00260A82">
        <w:rPr>
          <w:rFonts w:ascii="Arial" w:hAnsi="Arial" w:cs="Arial"/>
          <w:spacing w:val="2"/>
        </w:rPr>
        <w:t xml:space="preserve"> __ </w:t>
      </w:r>
      <w:proofErr w:type="gramStart"/>
      <w:r w:rsidRPr="00260A82">
        <w:rPr>
          <w:rFonts w:ascii="Arial" w:hAnsi="Arial" w:cs="Arial"/>
          <w:spacing w:val="2"/>
        </w:rPr>
        <w:t>м</w:t>
      </w:r>
      <w:proofErr w:type="gramEnd"/>
      <w:r w:rsidRPr="00260A82">
        <w:rPr>
          <w:rFonts w:ascii="Arial" w:hAnsi="Arial" w:cs="Arial"/>
          <w:spacing w:val="2"/>
        </w:rPr>
        <w:t>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</w:t>
      </w:r>
      <w:proofErr w:type="gramStart"/>
      <w:r w:rsidRPr="00260A82">
        <w:rPr>
          <w:rFonts w:ascii="Arial" w:hAnsi="Arial" w:cs="Arial"/>
          <w:spacing w:val="2"/>
        </w:rPr>
        <w:t>н(</w:t>
      </w:r>
      <w:proofErr w:type="gramEnd"/>
      <w:r w:rsidRPr="00260A82">
        <w:rPr>
          <w:rFonts w:ascii="Arial" w:hAnsi="Arial" w:cs="Arial"/>
          <w:spacing w:val="2"/>
        </w:rPr>
        <w:t>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proofErr w:type="gramStart"/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</w:t>
      </w:r>
      <w:proofErr w:type="gramEnd"/>
      <w:r w:rsidRPr="00260A82">
        <w:rPr>
          <w:rFonts w:ascii="Arial" w:hAnsi="Arial" w:cs="Arial"/>
          <w:spacing w:val="2"/>
        </w:rPr>
        <w:t xml:space="preserve"> </w:t>
      </w:r>
      <w:proofErr w:type="gramStart"/>
      <w:r w:rsidRPr="00260A82">
        <w:rPr>
          <w:rFonts w:ascii="Arial" w:hAnsi="Arial" w:cs="Arial"/>
          <w:spacing w:val="2"/>
        </w:rPr>
        <w:t>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proofErr w:type="gramEnd"/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</w:t>
      </w:r>
      <w:proofErr w:type="gramStart"/>
      <w:r w:rsidRPr="00260A82">
        <w:rPr>
          <w:rFonts w:ascii="Arial" w:hAnsi="Arial" w:cs="Arial"/>
          <w:spacing w:val="2"/>
        </w:rPr>
        <w:t>н(</w:t>
      </w:r>
      <w:proofErr w:type="gramEnd"/>
      <w:r w:rsidRPr="00260A82">
        <w:rPr>
          <w:rFonts w:ascii="Arial" w:hAnsi="Arial" w:cs="Arial"/>
          <w:spacing w:val="2"/>
        </w:rPr>
        <w:t>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№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>п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>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247F40">
              <w:rPr>
                <w:rFonts w:ascii="Arial" w:hAnsi="Arial" w:cs="Arial"/>
                <w:color w:val="2D2D2D"/>
              </w:rPr>
              <w:t>Богатыревского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="00AA260E" w:rsidRPr="00260A82">
              <w:rPr>
                <w:rFonts w:ascii="Arial" w:hAnsi="Arial" w:cs="Arial"/>
                <w:color w:val="2D2D2D"/>
              </w:rPr>
              <w:t xml:space="preserve"> </w:t>
            </w:r>
            <w:r w:rsidRPr="00260A82">
              <w:rPr>
                <w:rFonts w:ascii="Arial" w:hAnsi="Arial" w:cs="Arial"/>
                <w:color w:val="2D2D2D"/>
              </w:rPr>
              <w:t>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247F40">
              <w:rPr>
                <w:rFonts w:ascii="Arial" w:hAnsi="Arial" w:cs="Arial"/>
                <w:color w:val="2D2D2D"/>
              </w:rPr>
              <w:t>Богатыревского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</w:t>
            </w:r>
            <w:proofErr w:type="gramStart"/>
            <w:r w:rsidR="00AA260E" w:rsidRPr="00260A82">
              <w:rPr>
                <w:rFonts w:ascii="Arial" w:hAnsi="Arial" w:cs="Arial"/>
                <w:color w:val="2D2D2D"/>
              </w:rPr>
              <w:t xml:space="preserve"> </w:t>
            </w:r>
            <w:r w:rsidRPr="00260A82">
              <w:rPr>
                <w:rFonts w:ascii="Arial" w:hAnsi="Arial" w:cs="Arial"/>
                <w:color w:val="2D2D2D"/>
              </w:rPr>
              <w:t>,</w:t>
            </w:r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247F40">
        <w:rPr>
          <w:rFonts w:ascii="Arial" w:hAnsi="Arial" w:cs="Arial"/>
          <w:spacing w:val="2"/>
        </w:rPr>
        <w:t>Богатыревского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 xml:space="preserve">№ </w:t>
            </w:r>
            <w:proofErr w:type="gramStart"/>
            <w:r w:rsidRPr="00260A82">
              <w:rPr>
                <w:rFonts w:ascii="Arial" w:hAnsi="Arial" w:cs="Arial"/>
              </w:rPr>
              <w:t>п</w:t>
            </w:r>
            <w:proofErr w:type="gramEnd"/>
            <w:r w:rsidRPr="00260A82">
              <w:rPr>
                <w:rFonts w:ascii="Arial" w:hAnsi="Arial" w:cs="Arial"/>
              </w:rPr>
              <w:t>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proofErr w:type="gramStart"/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 xml:space="preserve">- правильности ведения документов по кадровому учету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 xml:space="preserve">- трудовых договоров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proofErr w:type="gramEnd"/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 xml:space="preserve"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</w:t>
            </w:r>
            <w:r w:rsidRPr="00260A82">
              <w:rPr>
                <w:rFonts w:ascii="Arial" w:hAnsi="Arial" w:cs="Arial"/>
              </w:rPr>
              <w:lastRenderedPageBreak/>
              <w:t>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 xml:space="preserve">- оплаты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 xml:space="preserve">- организации работ по охране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 xml:space="preserve"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</w:t>
            </w:r>
            <w:proofErr w:type="gramStart"/>
            <w:r w:rsidRPr="00260A82">
              <w:rPr>
                <w:rFonts w:ascii="Arial" w:hAnsi="Arial" w:cs="Arial"/>
              </w:rPr>
              <w:t>обучения по охране</w:t>
            </w:r>
            <w:proofErr w:type="gramEnd"/>
            <w:r w:rsidRPr="00260A82">
              <w:rPr>
                <w:rFonts w:ascii="Arial" w:hAnsi="Arial" w:cs="Arial"/>
              </w:rPr>
              <w:t xml:space="preserve">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06" w:rsidRDefault="000B7406" w:rsidP="00260A82">
      <w:pPr>
        <w:spacing w:after="0" w:line="240" w:lineRule="auto"/>
      </w:pPr>
      <w:r>
        <w:separator/>
      </w:r>
    </w:p>
  </w:endnote>
  <w:endnote w:type="continuationSeparator" w:id="0">
    <w:p w:rsidR="000B7406" w:rsidRDefault="000B7406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06" w:rsidRDefault="000B7406" w:rsidP="00260A82">
      <w:pPr>
        <w:spacing w:after="0" w:line="240" w:lineRule="auto"/>
      </w:pPr>
      <w:r>
        <w:separator/>
      </w:r>
    </w:p>
  </w:footnote>
  <w:footnote w:type="continuationSeparator" w:id="0">
    <w:p w:rsidR="000B7406" w:rsidRDefault="000B7406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B7406"/>
    <w:rsid w:val="00104C02"/>
    <w:rsid w:val="0012423F"/>
    <w:rsid w:val="001E3A26"/>
    <w:rsid w:val="00244628"/>
    <w:rsid w:val="00247F40"/>
    <w:rsid w:val="00260A82"/>
    <w:rsid w:val="00313637"/>
    <w:rsid w:val="004B24B9"/>
    <w:rsid w:val="004E0F56"/>
    <w:rsid w:val="00521EB5"/>
    <w:rsid w:val="0053020E"/>
    <w:rsid w:val="00543EA5"/>
    <w:rsid w:val="005E4EC5"/>
    <w:rsid w:val="0086149C"/>
    <w:rsid w:val="00A125D9"/>
    <w:rsid w:val="00A76AFC"/>
    <w:rsid w:val="00A96574"/>
    <w:rsid w:val="00AA260E"/>
    <w:rsid w:val="00BF3C69"/>
    <w:rsid w:val="00C66378"/>
    <w:rsid w:val="00C85849"/>
    <w:rsid w:val="00CA00C0"/>
    <w:rsid w:val="00D268E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A86A-6BF5-426B-81DC-E987A575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bogatirevo</cp:lastModifiedBy>
  <cp:revision>3</cp:revision>
  <dcterms:created xsi:type="dcterms:W3CDTF">2020-12-22T08:35:00Z</dcterms:created>
  <dcterms:modified xsi:type="dcterms:W3CDTF">2020-12-22T09:38:00Z</dcterms:modified>
</cp:coreProperties>
</file>