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F0" w:rsidRDefault="000728F0" w:rsidP="00E167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Проект</w:t>
      </w:r>
    </w:p>
    <w:p w:rsidR="00E167EF" w:rsidRPr="00E77B99" w:rsidRDefault="00E167EF" w:rsidP="00E167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 w:rsidR="00C261D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БОГАТЫРЕВСКОГО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E167EF" w:rsidRPr="00E77B99" w:rsidRDefault="00E167EF" w:rsidP="00E167E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ГОРШЕЧЕНСКОГО РАЙОНА 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ПОСТАНОВЛЕНИЕ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 xml:space="preserve">от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___________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20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20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года N</w:t>
      </w:r>
      <w:proofErr w:type="gramStart"/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____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О</w:t>
      </w:r>
      <w:proofErr w:type="gramEnd"/>
      <w:r w:rsidR="00297B34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 утверждении Порядка формирования и утверждения перечня объектов, в отношении которых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="00297B34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планируется заключение концессионных соглашений </w:t>
      </w:r>
    </w:p>
    <w:p w:rsidR="00E167EF" w:rsidRPr="00E167EF" w:rsidRDefault="00E167EF" w:rsidP="00E167EF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исполнение </w:t>
      </w:r>
      <w:hyperlink r:id="rId5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в целях повышения эффективности организации взаимодействия органов исполнительной власти Курской области при подготовке, заключении, исполнении, изменении, мониторинге и прекращении концессионных соглашений на территории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МО «</w:t>
      </w:r>
      <w:proofErr w:type="spellStart"/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Богатыревский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постановляет:</w:t>
      </w:r>
      <w:proofErr w:type="gramEnd"/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 Утвердить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вступает в силу с момента подписания.</w:t>
      </w: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C261D5" w:rsidRDefault="00E167EF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   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</w:t>
      </w:r>
      <w:proofErr w:type="spellStart"/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Т.А.Звягинцева</w:t>
      </w:r>
      <w:proofErr w:type="spellEnd"/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</w:t>
      </w:r>
    </w:p>
    <w:p w:rsidR="00297B34" w:rsidRPr="00E77B99" w:rsidRDefault="00E167EF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297B34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97B34" w:rsidRPr="00E77B99" w:rsidRDefault="00E167EF" w:rsidP="00297B34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постановлением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Администрации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297B34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E167EF" w:rsidRPr="00E167EF" w:rsidRDefault="00297B34" w:rsidP="00297B34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Горшеченского района </w:t>
      </w:r>
      <w:r w:rsidR="00E167EF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</w:t>
      </w:r>
      <w:r w:rsidR="00E167EF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от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</w:t>
      </w:r>
      <w:r w:rsidR="00E167EF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20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="00E167EF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г. N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</w:p>
    <w:p w:rsidR="00E167EF" w:rsidRPr="00E167EF" w:rsidRDefault="00E167EF" w:rsidP="00297B34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E167EF" w:rsidRPr="00E167EF" w:rsidRDefault="00E167EF" w:rsidP="00297B34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Настоящий Порядок устанавливает процедуру формирования и утверждения перечня объектов, право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которые принадлежит или будет принадлежать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 «Богатыревский</w:t>
      </w:r>
      <w:bookmarkStart w:id="0" w:name="_GoBack"/>
      <w:bookmarkEnd w:id="0"/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(далее - объекты), в отношении которых планируется заключение концессионных соглашений (далее - Перечень).</w:t>
      </w:r>
    </w:p>
    <w:p w:rsidR="00E91C1D" w:rsidRPr="00E77B99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Формирование Перечня осуществляется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Администрацией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ежегодно до 15 декабря года, предшествующего году утверждения Перечня, </w:t>
      </w:r>
      <w:r w:rsidR="00E91C1D"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на основании сведений, предоставляемых 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="00E91C1D" w:rsidRPr="00E77B99">
        <w:rPr>
          <w:rFonts w:ascii="Arial" w:hAnsi="Arial" w:cs="Arial"/>
          <w:sz w:val="23"/>
          <w:szCs w:val="23"/>
          <w:shd w:val="clear" w:color="auto" w:fill="FFFFFF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 Для формирования Перечня, ежегодно до 15 ноября года, предшествующего году утверждения Перечня, представля</w:t>
      </w:r>
      <w:r w:rsidR="002A110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ются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r w:rsidR="002A110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Администрацию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2A110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2) выписки из Единого государственного реестра недвижимости на объекты, в отношении которых планируется заключение концессионных соглашений, или иных документов о праве </w:t>
      </w:r>
      <w:r w:rsidR="00E91C1D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собственности, документов, подтверждающих наличие объектов незавершенного строительства (далее - правоустанавливающие документы) (при наличии).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случае включения в сведения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органы исполнительной власти представляют в </w:t>
      </w:r>
      <w:r w:rsidR="00A845C3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A845C3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- копия отчета о техническом обследовании имущества).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5.</w:t>
      </w:r>
      <w:r w:rsidR="00A845C3"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845C3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A845C3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="00A845C3"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845C3" w:rsidRPr="00E77B99">
        <w:rPr>
          <w:rFonts w:ascii="Arial" w:hAnsi="Arial" w:cs="Arial"/>
          <w:sz w:val="23"/>
          <w:szCs w:val="23"/>
          <w:shd w:val="clear" w:color="auto" w:fill="FFFFFF"/>
        </w:rPr>
        <w:lastRenderedPageBreak/>
        <w:t>рассматривает документы, указанные в пунктах 3, 4 настоящего Порядка, и принимает решение о включении объектов в Перечень, за исключением случаев, указанных в пункте 6 настоящего Порядка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6. Сведения об объектах не включаются в Перечень в случаях, если: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объект не относится к объектам, указанным в статье 4 </w:t>
      </w:r>
      <w:hyperlink r:id="rId6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2) не представлены или представлены не в полном объеме документы, указанные в пунктах 3, 4 настоящего Порядка.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 В целях подтверждения права 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собственности на объекты 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вправе запрашивать правоустанавливающие документы </w:t>
      </w:r>
      <w:r w:rsidR="00E77B99" w:rsidRPr="00E77B99">
        <w:rPr>
          <w:rFonts w:ascii="Arial" w:hAnsi="Arial" w:cs="Arial"/>
          <w:sz w:val="23"/>
          <w:szCs w:val="23"/>
          <w:shd w:val="clear" w:color="auto" w:fill="FFFFFF"/>
        </w:rPr>
        <w:t>в порядке межведомственного взаимодействия в органе, осуществляющем государственную регистрацию права.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от 21 июля 2015 года N 115-ФЗ "О концессионных соглашениях".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9. Перечень утверждается распоряжением Администрации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 (далее - Распоряжение) до 1 февраля текущего календарного года. В распоряжении дается поручение разместить </w:t>
      </w:r>
      <w:r w:rsid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течени</w:t>
      </w:r>
      <w:r w:rsidR="00007C0C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30 дней, с момента подписания,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утвержденный Перечень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E77B9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размещается комитетом по экономике и развитию Курской области в соответствии с требованиями Распоряжения в течение 10 календарных дней со дня издания Распоряжения.</w:t>
      </w:r>
    </w:p>
    <w:p w:rsidR="00E167EF" w:rsidRPr="00E167EF" w:rsidRDefault="00E167EF" w:rsidP="00E167EF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10. При отсутствии предложений о формировании Перечня</w:t>
      </w:r>
      <w:r w:rsid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Администрация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размещает на официальном сайте Администрации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информацию об отсутствии объектов, право </w:t>
      </w:r>
      <w:proofErr w:type="gramStart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</w:t>
      </w:r>
      <w:proofErr w:type="gramEnd"/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которые принадлежит</w:t>
      </w:r>
      <w:r w:rsidR="009E30EE" w:rsidRP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E30EE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r w:rsidR="00C261D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Богатыревского</w:t>
      </w:r>
      <w:r w:rsid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области, в отношении которых планируется заключение концессионных соглашений.</w:t>
      </w: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E30EE" w:rsidRDefault="009E30EE" w:rsidP="009E30EE">
      <w:pPr>
        <w:shd w:val="clear" w:color="auto" w:fill="FFFFFF"/>
        <w:spacing w:before="313" w:after="188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Порядку формирования 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утверждения перечня объектов,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отношении которых планируется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заключение концессионных соглашений</w:t>
      </w:r>
    </w:p>
    <w:p w:rsidR="009E30EE" w:rsidRDefault="009E30EE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167EF" w:rsidRPr="00E167EF" w:rsidRDefault="00E167EF" w:rsidP="00E167EF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объектах, в отношении которых планируется заключение концессионных соглашений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784"/>
        <w:gridCol w:w="1875"/>
        <w:gridCol w:w="1991"/>
        <w:gridCol w:w="1661"/>
        <w:gridCol w:w="1455"/>
      </w:tblGrid>
      <w:tr w:rsidR="00E167EF" w:rsidRPr="00E167EF" w:rsidTr="009E30EE">
        <w:trPr>
          <w:trHeight w:val="15"/>
        </w:trPr>
        <w:tc>
          <w:tcPr>
            <w:tcW w:w="589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84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7EF" w:rsidRPr="00E167EF" w:rsidTr="009E30EE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мощность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E167EF" w:rsidRPr="00E167EF" w:rsidTr="009E30EE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7EF" w:rsidRPr="00E167EF" w:rsidTr="009E30EE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67EF" w:rsidRPr="00E167EF" w:rsidRDefault="00E167EF" w:rsidP="00E167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4DE2" w:rsidRDefault="00394DE2" w:rsidP="00E167EF">
      <w:pPr>
        <w:jc w:val="both"/>
        <w:rPr>
          <w:rFonts w:ascii="Arial" w:hAnsi="Arial" w:cs="Arial"/>
          <w:sz w:val="24"/>
          <w:szCs w:val="24"/>
        </w:rPr>
      </w:pPr>
    </w:p>
    <w:p w:rsidR="009E30EE" w:rsidRPr="009E30EE" w:rsidRDefault="009E30EE" w:rsidP="00E167EF">
      <w:pPr>
        <w:jc w:val="both"/>
        <w:rPr>
          <w:rFonts w:ascii="Arial" w:hAnsi="Arial" w:cs="Arial"/>
          <w:sz w:val="24"/>
          <w:szCs w:val="24"/>
        </w:rPr>
      </w:pPr>
    </w:p>
    <w:p w:rsidR="009E30EE" w:rsidRPr="009E30EE" w:rsidRDefault="009E30EE" w:rsidP="009E30EE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E30EE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 Порядку формирования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и утверждения перечня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объектов, в отношении которых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планируется заключение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концессионных соглашений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Перечень объектов, в отношении которых планируется заключение концессионных соглашений</w:t>
      </w:r>
    </w:p>
    <w:tbl>
      <w:tblPr>
        <w:tblW w:w="7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1811"/>
        <w:gridCol w:w="1977"/>
        <w:gridCol w:w="2038"/>
        <w:gridCol w:w="1669"/>
      </w:tblGrid>
      <w:tr w:rsidR="009E30EE" w:rsidRPr="009E30EE" w:rsidTr="009E30EE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 xml:space="preserve">№ </w:t>
            </w:r>
            <w:proofErr w:type="gramStart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</w:t>
            </w:r>
            <w:proofErr w:type="gramEnd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/п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Наименование</w:t>
            </w:r>
          </w:p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Предполагаемая</w:t>
            </w:r>
            <w:proofErr w:type="gramEnd"/>
          </w:p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мощность объекта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Планируемая сфера применения  объекта</w:t>
            </w:r>
          </w:p>
        </w:tc>
      </w:tr>
      <w:tr w:rsidR="009E30EE" w:rsidRPr="009E30EE" w:rsidTr="009E30EE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30EE" w:rsidRPr="009E30EE" w:rsidRDefault="009E30EE" w:rsidP="009E30EE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9E30EE" w:rsidRPr="009E30EE" w:rsidRDefault="009E30EE" w:rsidP="00E167EF">
      <w:pPr>
        <w:jc w:val="both"/>
        <w:rPr>
          <w:rFonts w:ascii="Arial" w:hAnsi="Arial" w:cs="Arial"/>
          <w:sz w:val="24"/>
          <w:szCs w:val="24"/>
        </w:rPr>
      </w:pPr>
    </w:p>
    <w:sectPr w:rsidR="009E30EE" w:rsidRPr="009E30EE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7EF"/>
    <w:rsid w:val="00007C0C"/>
    <w:rsid w:val="00064743"/>
    <w:rsid w:val="000728F0"/>
    <w:rsid w:val="000A3C8E"/>
    <w:rsid w:val="000A7250"/>
    <w:rsid w:val="00105E33"/>
    <w:rsid w:val="00193054"/>
    <w:rsid w:val="001979FB"/>
    <w:rsid w:val="001A7E66"/>
    <w:rsid w:val="00297B34"/>
    <w:rsid w:val="002A110D"/>
    <w:rsid w:val="002A5EB2"/>
    <w:rsid w:val="00394DE2"/>
    <w:rsid w:val="004306E8"/>
    <w:rsid w:val="00432220"/>
    <w:rsid w:val="00440DD3"/>
    <w:rsid w:val="004C5F44"/>
    <w:rsid w:val="005C2628"/>
    <w:rsid w:val="0069030C"/>
    <w:rsid w:val="007F2C6C"/>
    <w:rsid w:val="00857B67"/>
    <w:rsid w:val="009704EB"/>
    <w:rsid w:val="00987E7F"/>
    <w:rsid w:val="009E30EE"/>
    <w:rsid w:val="00A201C7"/>
    <w:rsid w:val="00A845C3"/>
    <w:rsid w:val="00B271D6"/>
    <w:rsid w:val="00C261D5"/>
    <w:rsid w:val="00C56B46"/>
    <w:rsid w:val="00C66688"/>
    <w:rsid w:val="00C73030"/>
    <w:rsid w:val="00D15C6E"/>
    <w:rsid w:val="00DC607A"/>
    <w:rsid w:val="00E167EF"/>
    <w:rsid w:val="00E429C7"/>
    <w:rsid w:val="00E77B99"/>
    <w:rsid w:val="00E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paragraph" w:styleId="1">
    <w:name w:val="heading 1"/>
    <w:basedOn w:val="a"/>
    <w:link w:val="10"/>
    <w:uiPriority w:val="9"/>
    <w:qFormat/>
    <w:rsid w:val="00E16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6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6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7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6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67EF"/>
    <w:rPr>
      <w:color w:val="0000FF"/>
      <w:u w:val="single"/>
    </w:rPr>
  </w:style>
  <w:style w:type="paragraph" w:customStyle="1" w:styleId="formattext">
    <w:name w:val="formattext"/>
    <w:basedOn w:val="a"/>
    <w:rsid w:val="00E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bogatirevo</cp:lastModifiedBy>
  <cp:revision>3</cp:revision>
  <dcterms:created xsi:type="dcterms:W3CDTF">2020-12-22T08:18:00Z</dcterms:created>
  <dcterms:modified xsi:type="dcterms:W3CDTF">2020-12-22T09:33:00Z</dcterms:modified>
</cp:coreProperties>
</file>