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F0" w:rsidRDefault="000728F0" w:rsidP="00E167E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</w:p>
    <w:p w:rsidR="00C05314" w:rsidRDefault="00E167EF" w:rsidP="00E167E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АДМИНИСТРАЦИЯ</w:t>
      </w:r>
    </w:p>
    <w:p w:rsidR="00E167EF" w:rsidRPr="00E77B99" w:rsidRDefault="00E167EF" w:rsidP="00E167E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="00C261D5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БОГАТЫРЕВСКОГО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E167EF" w:rsidRPr="00E77B99" w:rsidRDefault="00E167EF" w:rsidP="00E167E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ГОРШЕЧЕНСКОГО РАЙОНА 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КУРСКОЙ ОБЛАСТИ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>ПОСТАНОВЛЕНИЕ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 xml:space="preserve">от </w:t>
      </w:r>
      <w:r w:rsidR="00C0531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23 декабря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20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20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года N </w:t>
      </w:r>
      <w:r w:rsidR="00C0531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28</w:t>
      </w:r>
      <w:proofErr w:type="gramStart"/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>О</w:t>
      </w:r>
      <w:proofErr w:type="gramEnd"/>
      <w:r w:rsidR="00297B34"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б утверждении Порядка формирования и утверждения перечня объектов, в отношении которых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="00297B34"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планируется заключение концессионных соглашений </w:t>
      </w:r>
    </w:p>
    <w:p w:rsidR="00E167EF" w:rsidRPr="00E167EF" w:rsidRDefault="00E167EF" w:rsidP="00E167EF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 исполнение </w:t>
      </w:r>
      <w:hyperlink r:id="rId5" w:history="1">
        <w:r w:rsidRPr="00E77B99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 и в целях </w:t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повышения эффективности организации взаимодействия органов исполнительной власти Курской области</w:t>
      </w:r>
      <w:proofErr w:type="gramEnd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 подготовке, заключении, исполнении, изменении, мониторинге и прекращении концессионных соглашений на территории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МО «</w:t>
      </w:r>
      <w:proofErr w:type="spellStart"/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Богатыревский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сельсовет»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Администрация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 постановляет: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1. Утвердить Порядок формирования и утверждения перечня объектов, в отношении которых планируется заключение концессионных соглашений.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2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Постановление вступает в силу с момента подписания.</w:t>
      </w:r>
    </w:p>
    <w:p w:rsidR="00E167EF" w:rsidRPr="00E77B99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167EF" w:rsidRPr="00E77B99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167EF" w:rsidRPr="00E77B99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167EF" w:rsidRPr="00E77B99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167EF" w:rsidRPr="00E77B99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</w:p>
    <w:p w:rsidR="00C261D5" w:rsidRDefault="00E167EF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Горшеченского района                     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</w:t>
      </w:r>
      <w:proofErr w:type="spellStart"/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Т.А.Звягинцева</w:t>
      </w:r>
      <w:proofErr w:type="spellEnd"/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</w:t>
      </w:r>
    </w:p>
    <w:p w:rsidR="00297B34" w:rsidRPr="00E77B99" w:rsidRDefault="00E167EF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E167EF" w:rsidP="00297B34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Утвержден</w:t>
      </w:r>
      <w:proofErr w:type="gramEnd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постановлением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Администрации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297B34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</w:p>
    <w:p w:rsidR="00E167EF" w:rsidRPr="00E167EF" w:rsidRDefault="00297B34" w:rsidP="00297B34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Горшеченского района </w:t>
      </w:r>
      <w:r w:rsidR="00E167EF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</w:t>
      </w:r>
      <w:r w:rsidR="00E167EF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от </w:t>
      </w:r>
      <w:r w:rsidR="00C0531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23 декабря </w:t>
      </w:r>
      <w:r w:rsidR="00E167EF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20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20</w:t>
      </w:r>
      <w:r w:rsidR="00E167EF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г. N </w:t>
      </w:r>
      <w:r w:rsidR="00C05314">
        <w:rPr>
          <w:rFonts w:ascii="Arial" w:eastAsia="Times New Roman" w:hAnsi="Arial" w:cs="Arial"/>
          <w:spacing w:val="2"/>
          <w:sz w:val="24"/>
          <w:szCs w:val="24"/>
          <w:lang w:eastAsia="ru-RU"/>
        </w:rPr>
        <w:t>28</w:t>
      </w:r>
      <w:bookmarkStart w:id="0" w:name="_GoBack"/>
      <w:bookmarkEnd w:id="0"/>
    </w:p>
    <w:p w:rsidR="00E167EF" w:rsidRPr="00E167EF" w:rsidRDefault="00E167EF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E167EF" w:rsidRPr="00E167EF" w:rsidRDefault="00E167EF" w:rsidP="00297B34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Порядок формирования и утверждения перечня объектов, в отношении которых планируется заключение концессионных соглашений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1. Настоящий Порядок устанавливает процедуру формирования и утверждения перечня объектов, право </w:t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собственности</w:t>
      </w:r>
      <w:proofErr w:type="gramEnd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которые принадлежит или будет принадлежать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МО «Богатыревский</w:t>
      </w:r>
      <w:r w:rsidR="00E91C1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сельсовет»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 (далее - объекты), в отношении которых планируется заключение концессионных соглашений (далее - Перечень).</w:t>
      </w:r>
    </w:p>
    <w:p w:rsidR="00E91C1D" w:rsidRPr="00E77B99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2. Формирование Перечня осуществляется</w:t>
      </w:r>
      <w:r w:rsidR="00E91C1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Администрацией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E91C1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ежегодно до 15 декабря года, предшествующего году утверждения Перечня, </w:t>
      </w:r>
      <w:r w:rsidR="00E91C1D"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на основании сведений, предоставляемых </w:t>
      </w:r>
      <w:r w:rsidR="00E91C1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Администрацией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E91C1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="00E91C1D" w:rsidRPr="00E77B99">
        <w:rPr>
          <w:rFonts w:ascii="Arial" w:hAnsi="Arial" w:cs="Arial"/>
          <w:sz w:val="23"/>
          <w:szCs w:val="23"/>
          <w:shd w:val="clear" w:color="auto" w:fill="FFFFFF"/>
        </w:rPr>
        <w:t>, в соответствии с отраслевой принадлежностью объектов, в отношении которых планируется заключение концессионных соглашений.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3. Для формирования Перечня, ежегодно до 15 ноября года, предшествующего году утверждения Перечня, представля</w:t>
      </w:r>
      <w:r w:rsidR="002A110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ются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</w:t>
      </w:r>
      <w:r w:rsidR="002A110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Администрацию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2A110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1)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2) выписки из Единого государственного реестра недвижимости на объекты, в отношении которых планируется заключение концессионных соглашений, или иных документов о праве </w:t>
      </w:r>
      <w:r w:rsidR="00E91C1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муниципальной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собственности, документов, подтверждающих наличие объектов незавершенного строительства (далее - правоустанавливающие документы) (при наличии).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4. </w:t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случае включения в сведения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органы исполнительной власти представляют в </w:t>
      </w:r>
      <w:r w:rsidR="00A845C3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Администрацией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A845C3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</w:t>
      </w:r>
      <w:proofErr w:type="gramEnd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- копия отчета о техническом обследовании имущества).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  <w:t>5.</w:t>
      </w:r>
      <w:r w:rsidR="00A845C3"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845C3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Администрация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A845C3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="00A845C3"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 рассматривает документы, указанные в пунктах 3, 4 настоящего Порядка, и принимает решение о включении объектов в Перечень, за исключением случаев, указанных в пункте 6 настоящего Порядка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6. Сведения об объектах не включаются в Перечень в случаях, если: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1) объект не относится к объектам, указанным в статье 4 </w:t>
      </w:r>
      <w:hyperlink r:id="rId6" w:history="1">
        <w:r w:rsidRPr="00E77B99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2) не представлены или представлены не в полном объеме документы, указанные в пунктах 3, 4 настоящего Порядка.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7. В целях подтверждения права </w:t>
      </w:r>
      <w:r w:rsidR="00E77B99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муниципальной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собственности на объекты </w:t>
      </w:r>
      <w:r w:rsidR="00E77B99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Администрация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E77B99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вправе запрашивать правоустанавливающие документы </w:t>
      </w:r>
      <w:r w:rsidR="00E77B99" w:rsidRPr="00E77B99">
        <w:rPr>
          <w:rFonts w:ascii="Arial" w:hAnsi="Arial" w:cs="Arial"/>
          <w:sz w:val="23"/>
          <w:szCs w:val="23"/>
          <w:shd w:val="clear" w:color="auto" w:fill="FFFFFF"/>
        </w:rPr>
        <w:t>в порядке межведомственного взаимодействия в органе, осуществляющем государственную регистрацию права.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8.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от 21 июля 2015 года N 115-ФЗ "О концессионных соглашениях".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9. Перечень утверждается распоряжением Администрации</w:t>
      </w:r>
      <w:r w:rsidR="00E77B99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E77B99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 (далее - Распоряжение) до 1 февраля текущего календарного года. В распоряжении дается поручение разместить </w:t>
      </w:r>
      <w:r w:rsid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течени</w:t>
      </w:r>
      <w:r w:rsidR="00007C0C">
        <w:rPr>
          <w:rFonts w:ascii="Arial" w:eastAsia="Times New Roman" w:hAnsi="Arial" w:cs="Arial"/>
          <w:spacing w:val="2"/>
          <w:sz w:val="24"/>
          <w:szCs w:val="24"/>
          <w:lang w:eastAsia="ru-RU"/>
        </w:rPr>
        <w:t>е</w:t>
      </w:r>
      <w:r w:rsid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30 дней, с момента подписания,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утвержденный Перечень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</w:t>
      </w:r>
      <w:r w:rsidR="00E77B99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E77B99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Перечень размещается комитетом по экономике и развитию Курской области в соответствии с требованиями Распоряжения в течение 10 календарных дней со дня издания Распоряжения.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10. При отсутствии предложений о формировании Перечня</w:t>
      </w:r>
      <w:r w:rsidR="009E30E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Администрация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9E30E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размещает на официальном сайте Администрации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9E30E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Курской области информацию об отсутствии объектов, право </w:t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собственности</w:t>
      </w:r>
      <w:proofErr w:type="gramEnd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которые принадлежит</w:t>
      </w:r>
      <w:r w:rsidR="009E30EE" w:rsidRPr="009E30E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9E30EE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9E30E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области, в отношении которых планируется заключение концессионных соглашений.</w:t>
      </w:r>
    </w:p>
    <w:p w:rsidR="009E30EE" w:rsidRDefault="009E30EE" w:rsidP="00E167EF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E30EE" w:rsidRDefault="009E30EE" w:rsidP="00E167EF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E30EE" w:rsidRDefault="009E30EE" w:rsidP="00E167EF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E30EE" w:rsidRDefault="009E30EE" w:rsidP="00E167EF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E30EE" w:rsidRDefault="009E30EE" w:rsidP="009E30EE">
      <w:pPr>
        <w:shd w:val="clear" w:color="auto" w:fill="FFFFFF"/>
        <w:spacing w:before="313" w:after="188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Порядку формирования и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утверждения перечня объектов,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 отношении которых планируется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заключение концессионных соглашений</w:t>
      </w:r>
    </w:p>
    <w:p w:rsidR="009E30EE" w:rsidRDefault="009E30EE" w:rsidP="00E167EF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167EF" w:rsidRPr="00E167EF" w:rsidRDefault="00E167EF" w:rsidP="00E167EF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Сведения об объектах, в отношении которых планируется заключение концессионных соглашений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784"/>
        <w:gridCol w:w="1875"/>
        <w:gridCol w:w="1991"/>
        <w:gridCol w:w="1661"/>
        <w:gridCol w:w="1455"/>
      </w:tblGrid>
      <w:tr w:rsidR="00E167EF" w:rsidRPr="00E167EF" w:rsidTr="009E30EE">
        <w:trPr>
          <w:trHeight w:val="15"/>
        </w:trPr>
        <w:tc>
          <w:tcPr>
            <w:tcW w:w="589" w:type="dxa"/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784" w:type="dxa"/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7EF" w:rsidRPr="00E167EF" w:rsidTr="009E30EE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адрес объекта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Предполагаемая мощность объекта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Планируемая сфера применения объекта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Оценочный объем требуемых инвестиций</w:t>
            </w:r>
          </w:p>
        </w:tc>
      </w:tr>
      <w:tr w:rsidR="00E167EF" w:rsidRPr="00E167EF" w:rsidTr="009E30EE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7EF" w:rsidRPr="00E167EF" w:rsidTr="009E30EE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94DE2" w:rsidRDefault="00394DE2" w:rsidP="00E167EF">
      <w:pPr>
        <w:jc w:val="both"/>
        <w:rPr>
          <w:rFonts w:ascii="Arial" w:hAnsi="Arial" w:cs="Arial"/>
          <w:sz w:val="24"/>
          <w:szCs w:val="24"/>
        </w:rPr>
      </w:pPr>
    </w:p>
    <w:p w:rsidR="009E30EE" w:rsidRPr="009E30EE" w:rsidRDefault="009E30EE" w:rsidP="00E167EF">
      <w:pPr>
        <w:jc w:val="both"/>
        <w:rPr>
          <w:rFonts w:ascii="Arial" w:hAnsi="Arial" w:cs="Arial"/>
          <w:sz w:val="24"/>
          <w:szCs w:val="24"/>
        </w:rPr>
      </w:pPr>
    </w:p>
    <w:p w:rsidR="009E30EE" w:rsidRPr="009E30EE" w:rsidRDefault="009E30EE" w:rsidP="009E30EE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9E30EE">
        <w:rPr>
          <w:rFonts w:ascii="Arial" w:eastAsia="Times New Roman" w:hAnsi="Arial" w:cs="Arial"/>
          <w:sz w:val="23"/>
          <w:szCs w:val="23"/>
          <w:lang w:eastAsia="ru-RU"/>
        </w:rPr>
        <w:t>Приложение 2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к Порядку формирования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и утверждения перечня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объектов, в отношении которых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планируется заключение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концессионных соглашений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Перечень объектов, в отношении которых планируется заключение концессионных соглашений</w:t>
      </w:r>
    </w:p>
    <w:tbl>
      <w:tblPr>
        <w:tblW w:w="75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1811"/>
        <w:gridCol w:w="1977"/>
        <w:gridCol w:w="2038"/>
        <w:gridCol w:w="1669"/>
      </w:tblGrid>
      <w:tr w:rsidR="009E30EE" w:rsidRPr="009E30EE" w:rsidTr="009E30EE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 xml:space="preserve">№ </w:t>
            </w:r>
            <w:proofErr w:type="gramStart"/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</w:t>
            </w:r>
            <w:proofErr w:type="gramEnd"/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/п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Наименование</w:t>
            </w:r>
          </w:p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объекта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gramStart"/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Предполагаемая</w:t>
            </w:r>
            <w:proofErr w:type="gramEnd"/>
          </w:p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мощность объекта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Планируемая сфера применения  объекта</w:t>
            </w:r>
          </w:p>
        </w:tc>
      </w:tr>
      <w:tr w:rsidR="009E30EE" w:rsidRPr="009E30EE" w:rsidTr="009E30EE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</w:tr>
    </w:tbl>
    <w:p w:rsidR="009E30EE" w:rsidRPr="009E30EE" w:rsidRDefault="009E30EE" w:rsidP="00E167EF">
      <w:pPr>
        <w:jc w:val="both"/>
        <w:rPr>
          <w:rFonts w:ascii="Arial" w:hAnsi="Arial" w:cs="Arial"/>
          <w:sz w:val="24"/>
          <w:szCs w:val="24"/>
        </w:rPr>
      </w:pPr>
    </w:p>
    <w:sectPr w:rsidR="009E30EE" w:rsidRPr="009E30EE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7EF"/>
    <w:rsid w:val="00007C0C"/>
    <w:rsid w:val="00064743"/>
    <w:rsid w:val="000728F0"/>
    <w:rsid w:val="000A3C8E"/>
    <w:rsid w:val="000A7250"/>
    <w:rsid w:val="00105E33"/>
    <w:rsid w:val="00193054"/>
    <w:rsid w:val="001979FB"/>
    <w:rsid w:val="001A7E66"/>
    <w:rsid w:val="00297B34"/>
    <w:rsid w:val="002A110D"/>
    <w:rsid w:val="002A5EB2"/>
    <w:rsid w:val="00394DE2"/>
    <w:rsid w:val="004306E8"/>
    <w:rsid w:val="00432220"/>
    <w:rsid w:val="00440DD3"/>
    <w:rsid w:val="004C5F44"/>
    <w:rsid w:val="005C2628"/>
    <w:rsid w:val="0069030C"/>
    <w:rsid w:val="007F2C6C"/>
    <w:rsid w:val="00857B67"/>
    <w:rsid w:val="009704EB"/>
    <w:rsid w:val="00987E7F"/>
    <w:rsid w:val="009E30EE"/>
    <w:rsid w:val="00A201C7"/>
    <w:rsid w:val="00A845C3"/>
    <w:rsid w:val="00B271D6"/>
    <w:rsid w:val="00C05314"/>
    <w:rsid w:val="00C261D5"/>
    <w:rsid w:val="00C56B46"/>
    <w:rsid w:val="00C66688"/>
    <w:rsid w:val="00C73030"/>
    <w:rsid w:val="00D15C6E"/>
    <w:rsid w:val="00DC607A"/>
    <w:rsid w:val="00E167EF"/>
    <w:rsid w:val="00E429C7"/>
    <w:rsid w:val="00E77B99"/>
    <w:rsid w:val="00E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paragraph" w:styleId="1">
    <w:name w:val="heading 1"/>
    <w:basedOn w:val="a"/>
    <w:link w:val="10"/>
    <w:uiPriority w:val="9"/>
    <w:qFormat/>
    <w:rsid w:val="00E16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6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6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7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6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1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67EF"/>
    <w:rPr>
      <w:color w:val="0000FF"/>
      <w:u w:val="single"/>
    </w:rPr>
  </w:style>
  <w:style w:type="paragraph" w:customStyle="1" w:styleId="formattext">
    <w:name w:val="formattext"/>
    <w:basedOn w:val="a"/>
    <w:rsid w:val="00E1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E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41331" TargetMode="External"/><Relationship Id="rId5" Type="http://schemas.openxmlformats.org/officeDocument/2006/relationships/hyperlink" Target="http://docs.cntd.ru/document/9019413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bogatirevo</cp:lastModifiedBy>
  <cp:revision>2</cp:revision>
  <dcterms:created xsi:type="dcterms:W3CDTF">2020-12-22T09:57:00Z</dcterms:created>
  <dcterms:modified xsi:type="dcterms:W3CDTF">2020-12-22T09:57:00Z</dcterms:modified>
</cp:coreProperties>
</file>